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tbl>
      <w:tblPr>
        <w:tblStyle w:val="Table1"/>
        <w:tblW w:w="8880.0" w:type="dxa"/>
        <w:jc w:val="left"/>
        <w:tblLayout w:type="fixed"/>
        <w:tblLook w:val="0600"/>
      </w:tblPr>
      <w:tblGrid>
        <w:gridCol w:w="2490"/>
        <w:gridCol w:w="6390"/>
        <w:tblGridChange w:id="0">
          <w:tblGrid>
            <w:gridCol w:w="2490"/>
            <w:gridCol w:w="6390"/>
          </w:tblGrid>
        </w:tblGridChange>
      </w:tblGrid>
      <w:tr>
        <w:trPr>
          <w:cantSplit w:val="0"/>
          <w:tblHeader w:val="0"/>
        </w:trPr>
        <w:tc>
          <w:tcPr>
            <w:vMerge w:val="restart"/>
            <w:shd w:fill="auto" w:val="clear"/>
            <w:tcMar>
              <w:top w:w="0.0" w:type="dxa"/>
              <w:left w:w="0.0" w:type="dxa"/>
              <w:bottom w:w="0.0" w:type="dxa"/>
              <w:right w:w="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www.vaph.be</w:t>
            </w:r>
          </w:p>
        </w:tc>
        <w:tc>
          <w:tcPr>
            <w:shd w:fill="auto" w:val="clear"/>
            <w:tcMar>
              <w:top w:w="60.0" w:type="dxa"/>
              <w:left w:w="100.0" w:type="dxa"/>
              <w:bottom w:w="6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b w:val="1"/>
                <w:sz w:val="36"/>
                <w:szCs w:val="36"/>
              </w:rPr>
            </w:pPr>
            <w:r w:rsidDel="00000000" w:rsidR="00000000" w:rsidRPr="00000000">
              <w:rPr>
                <w:b w:val="1"/>
                <w:sz w:val="36"/>
                <w:szCs w:val="36"/>
                <w:rtl w:val="0"/>
              </w:rPr>
              <w:t xml:space="preserve">MEDEDELING</w:t>
            </w:r>
          </w:p>
        </w:tc>
      </w:tr>
      <w:tr>
        <w:trPr>
          <w:cantSplit w:val="0"/>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rPr>
            </w:pPr>
            <w:r w:rsidDel="00000000" w:rsidR="00000000" w:rsidRPr="00000000">
              <w:rPr>
                <w:rtl w:val="0"/>
              </w:rPr>
            </w:r>
          </w:p>
        </w:tc>
        <w:tc>
          <w:tcPr>
            <w:shd w:fill="auto" w:val="clear"/>
            <w:tcMar>
              <w:top w:w="60.0" w:type="dxa"/>
              <w:left w:w="100.0" w:type="dxa"/>
              <w:bottom w:w="6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right"/>
              <w:rPr>
                <w:b w:val="1"/>
                <w:sz w:val="26"/>
                <w:szCs w:val="26"/>
              </w:rPr>
            </w:pPr>
            <w:r w:rsidDel="00000000" w:rsidR="00000000" w:rsidRPr="00000000">
              <w:rPr>
                <w:b w:val="1"/>
                <w:sz w:val="26"/>
                <w:szCs w:val="26"/>
                <w:rtl w:val="0"/>
              </w:rPr>
              <w:t xml:space="preserve">Gericht aan: PAB- en PVB-budgethouders</w:t>
            </w:r>
          </w:p>
        </w:tc>
      </w:tr>
      <w:tr>
        <w:trPr>
          <w:cantSplit w:val="0"/>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60.0" w:type="dxa"/>
              <w:left w:w="100.0" w:type="dxa"/>
              <w:bottom w:w="6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color w:val="666666"/>
              </w:rPr>
            </w:pPr>
            <w:r w:rsidDel="00000000" w:rsidR="00000000" w:rsidRPr="00000000">
              <w:rPr>
                <w:color w:val="666666"/>
                <w:rtl w:val="0"/>
              </w:rPr>
              <w:t xml:space="preserve">7 februari 2025</w:t>
            </w:r>
          </w:p>
        </w:tc>
      </w:tr>
      <w:tr>
        <w:trPr>
          <w:cantSplit w:val="0"/>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666666"/>
              </w:rPr>
            </w:pPr>
            <w:r w:rsidDel="00000000" w:rsidR="00000000" w:rsidRPr="00000000">
              <w:rPr>
                <w:rtl w:val="0"/>
              </w:rPr>
            </w:r>
          </w:p>
        </w:tc>
        <w:tc>
          <w:tcPr>
            <w:shd w:fill="auto" w:val="clear"/>
            <w:tcMar>
              <w:top w:w="60.0" w:type="dxa"/>
              <w:left w:w="100.0" w:type="dxa"/>
              <w:bottom w:w="6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color w:val="666666"/>
              </w:rPr>
            </w:pPr>
            <w:r w:rsidDel="00000000" w:rsidR="00000000" w:rsidRPr="00000000">
              <w:rPr>
                <w:color w:val="666666"/>
                <w:rtl w:val="0"/>
              </w:rPr>
              <w:t xml:space="preserve">VAPH/25/01</w:t>
            </w:r>
          </w:p>
        </w:tc>
      </w:tr>
      <w:tr>
        <w:trPr>
          <w:cantSplit w:val="0"/>
          <w:tblHeader w:val="0"/>
        </w:trPr>
        <w:tc>
          <w:tcPr>
            <w:shd w:fill="auto" w:val="clear"/>
            <w:tcMar>
              <w:top w:w="20.0" w:type="dxa"/>
              <w:left w:w="100.0" w:type="dxa"/>
              <w:bottom w:w="2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jc w:val="right"/>
              <w:rPr>
                <w:b w:val="1"/>
                <w:sz w:val="20"/>
                <w:szCs w:val="20"/>
              </w:rPr>
            </w:pPr>
            <w:r w:rsidDel="00000000" w:rsidR="00000000" w:rsidRPr="00000000">
              <w:rPr>
                <w:b w:val="1"/>
                <w:sz w:val="20"/>
                <w:szCs w:val="20"/>
                <w:rtl w:val="0"/>
              </w:rPr>
              <w:t xml:space="preserve">Contactpersoon</w:t>
            </w:r>
          </w:p>
        </w:tc>
        <w:tc>
          <w:tcPr>
            <w:shd w:fill="auto" w:val="clear"/>
            <w:tcMar>
              <w:top w:w="20.0" w:type="dxa"/>
              <w:left w:w="100.0" w:type="dxa"/>
              <w:bottom w:w="20.0" w:type="dxa"/>
              <w:right w:w="100.0" w:type="dxa"/>
            </w:tcMar>
            <w:vAlign w:val="bottom"/>
          </w:tcPr>
          <w:p w:rsidR="00000000" w:rsidDel="00000000" w:rsidP="00000000" w:rsidRDefault="00000000" w:rsidRPr="00000000" w14:paraId="0000000B">
            <w:pPr>
              <w:widowControl w:val="0"/>
              <w:spacing w:line="276" w:lineRule="auto"/>
              <w:rPr>
                <w:sz w:val="20"/>
                <w:szCs w:val="20"/>
              </w:rPr>
            </w:pPr>
            <w:r w:rsidDel="00000000" w:rsidR="00000000" w:rsidRPr="00000000">
              <w:rPr>
                <w:sz w:val="20"/>
                <w:szCs w:val="20"/>
                <w:rtl w:val="0"/>
              </w:rPr>
              <w:t xml:space="preserve">team Budgetbesteding</w:t>
            </w:r>
          </w:p>
        </w:tc>
      </w:tr>
      <w:tr>
        <w:trPr>
          <w:cantSplit w:val="0"/>
          <w:tblHeader w:val="0"/>
        </w:trPr>
        <w:tc>
          <w:tcPr>
            <w:shd w:fill="auto" w:val="clear"/>
            <w:tcMar>
              <w:top w:w="20.0" w:type="dxa"/>
              <w:left w:w="100.0" w:type="dxa"/>
              <w:bottom w:w="2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jc w:val="right"/>
              <w:rPr>
                <w:b w:val="1"/>
                <w:sz w:val="20"/>
                <w:szCs w:val="20"/>
              </w:rPr>
            </w:pPr>
            <w:r w:rsidDel="00000000" w:rsidR="00000000" w:rsidRPr="00000000">
              <w:rPr>
                <w:b w:val="1"/>
                <w:sz w:val="20"/>
                <w:szCs w:val="20"/>
                <w:rtl w:val="0"/>
              </w:rPr>
              <w:t xml:space="preserve">E-mail</w:t>
            </w:r>
          </w:p>
        </w:tc>
        <w:tc>
          <w:tcPr>
            <w:shd w:fill="auto" w:val="clear"/>
            <w:tcMar>
              <w:top w:w="20.0" w:type="dxa"/>
              <w:left w:w="100.0" w:type="dxa"/>
              <w:bottom w:w="20.0" w:type="dxa"/>
              <w:right w:w="100.0" w:type="dxa"/>
            </w:tcMar>
            <w:vAlign w:val="bottom"/>
          </w:tcPr>
          <w:p w:rsidR="00000000" w:rsidDel="00000000" w:rsidP="00000000" w:rsidRDefault="00000000" w:rsidRPr="00000000" w14:paraId="0000000D">
            <w:pPr>
              <w:widowControl w:val="0"/>
              <w:spacing w:line="276" w:lineRule="auto"/>
              <w:rPr>
                <w:sz w:val="20"/>
                <w:szCs w:val="20"/>
              </w:rPr>
            </w:pPr>
            <w:r w:rsidDel="00000000" w:rsidR="00000000" w:rsidRPr="00000000">
              <w:rPr>
                <w:sz w:val="20"/>
                <w:szCs w:val="20"/>
                <w:rtl w:val="0"/>
              </w:rPr>
              <w:t xml:space="preserve">budgetbesteding@vaph.be</w:t>
            </w:r>
          </w:p>
        </w:tc>
      </w:tr>
      <w:tr>
        <w:trPr>
          <w:cantSplit w:val="0"/>
          <w:tblHeader w:val="0"/>
        </w:trPr>
        <w:tc>
          <w:tcPr>
            <w:shd w:fill="auto" w:val="clear"/>
            <w:tcMar>
              <w:top w:w="20.0" w:type="dxa"/>
              <w:left w:w="100.0" w:type="dxa"/>
              <w:bottom w:w="2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jc w:val="right"/>
              <w:rPr>
                <w:b w:val="1"/>
                <w:sz w:val="20"/>
                <w:szCs w:val="20"/>
              </w:rPr>
            </w:pPr>
            <w:r w:rsidDel="00000000" w:rsidR="00000000" w:rsidRPr="00000000">
              <w:rPr>
                <w:b w:val="1"/>
                <w:sz w:val="20"/>
                <w:szCs w:val="20"/>
                <w:rtl w:val="0"/>
              </w:rPr>
              <w:t xml:space="preserve">Telefoon</w:t>
            </w:r>
          </w:p>
        </w:tc>
        <w:tc>
          <w:tcPr>
            <w:shd w:fill="auto" w:val="clear"/>
            <w:tcMar>
              <w:top w:w="20.0" w:type="dxa"/>
              <w:left w:w="100.0" w:type="dxa"/>
              <w:bottom w:w="20.0" w:type="dxa"/>
              <w:right w:w="100.0" w:type="dxa"/>
            </w:tcMar>
            <w:vAlign w:val="bottom"/>
          </w:tcPr>
          <w:p w:rsidR="00000000" w:rsidDel="00000000" w:rsidP="00000000" w:rsidRDefault="00000000" w:rsidRPr="00000000" w14:paraId="0000000F">
            <w:pPr>
              <w:widowControl w:val="0"/>
              <w:spacing w:line="276" w:lineRule="auto"/>
              <w:rPr>
                <w:sz w:val="20"/>
                <w:szCs w:val="20"/>
              </w:rPr>
            </w:pPr>
            <w:r w:rsidDel="00000000" w:rsidR="00000000" w:rsidRPr="00000000">
              <w:rPr>
                <w:sz w:val="20"/>
                <w:szCs w:val="20"/>
                <w:rtl w:val="0"/>
              </w:rPr>
              <w:t xml:space="preserve">02 249 30 00</w:t>
            </w:r>
          </w:p>
        </w:tc>
      </w:tr>
      <w:tr>
        <w:trPr>
          <w:cantSplit w:val="0"/>
          <w:tblHeader w:val="0"/>
        </w:trPr>
        <w:tc>
          <w:tcPr>
            <w:shd w:fill="auto" w:val="clear"/>
            <w:tcMar>
              <w:top w:w="20.0" w:type="dxa"/>
              <w:left w:w="100.0" w:type="dxa"/>
              <w:bottom w:w="2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jc w:val="right"/>
              <w:rPr>
                <w:b w:val="1"/>
                <w:sz w:val="20"/>
                <w:szCs w:val="20"/>
              </w:rPr>
            </w:pPr>
            <w:r w:rsidDel="00000000" w:rsidR="00000000" w:rsidRPr="00000000">
              <w:rPr>
                <w:b w:val="1"/>
                <w:sz w:val="20"/>
                <w:szCs w:val="20"/>
                <w:rtl w:val="0"/>
              </w:rPr>
              <w:t xml:space="preserve">Bijlagen</w:t>
            </w:r>
          </w:p>
        </w:tc>
        <w:tc>
          <w:tcPr>
            <w:shd w:fill="auto" w:val="clear"/>
            <w:tcMar>
              <w:top w:w="20.0" w:type="dxa"/>
              <w:left w:w="100.0" w:type="dxa"/>
              <w:bottom w:w="20.0" w:type="dxa"/>
              <w:right w:w="100.0" w:type="dxa"/>
            </w:tcMar>
            <w:vAlign w:val="bottom"/>
          </w:tcPr>
          <w:p w:rsidR="00000000" w:rsidDel="00000000" w:rsidP="00000000" w:rsidRDefault="00000000" w:rsidRPr="00000000" w14:paraId="00000011">
            <w:pPr>
              <w:widowControl w:val="0"/>
              <w:spacing w:line="276" w:lineRule="auto"/>
              <w:rPr>
                <w:sz w:val="20"/>
                <w:szCs w:val="20"/>
              </w:rPr>
            </w:pPr>
            <w:r w:rsidDel="00000000" w:rsidR="00000000" w:rsidRPr="00000000">
              <w:rPr>
                <w:sz w:val="20"/>
                <w:szCs w:val="20"/>
                <w:rtl w:val="0"/>
              </w:rPr>
              <w:t xml:space="preserve">/</w:t>
            </w:r>
          </w:p>
        </w:tc>
      </w:tr>
      <w:tr>
        <w:trPr>
          <w:cantSplit w:val="0"/>
          <w:tblHeader w:val="0"/>
        </w:trPr>
        <w:tc>
          <w:tcPr>
            <w:gridSpan w:val="2"/>
            <w:shd w:fill="auto" w:val="clear"/>
            <w:tcMar>
              <w:top w:w="60.0" w:type="dxa"/>
              <w:left w:w="100.0" w:type="dxa"/>
              <w:bottom w:w="60.0" w:type="dxa"/>
              <w:right w:w="100.0" w:type="dxa"/>
            </w:tcMar>
            <w:vAlign w:val="top"/>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w:t>
            </w:r>
          </w:p>
        </w:tc>
      </w:tr>
      <w:tr>
        <w:trPr>
          <w:cantSplit w:val="0"/>
          <w:tblHeader w:val="0"/>
        </w:trPr>
        <w:tc>
          <w:tcPr>
            <w:gridSpan w:val="2"/>
            <w:shd w:fill="auto" w:val="clear"/>
            <w:tcMar>
              <w:top w:w="0.0" w:type="dxa"/>
              <w:left w:w="0.0" w:type="dxa"/>
              <w:bottom w:w="0.0" w:type="dxa"/>
              <w:right w:w="0.0" w:type="dxa"/>
            </w:tcMar>
            <w:vAlign w:val="top"/>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rPr>
                <w:sz w:val="34"/>
                <w:szCs w:val="34"/>
              </w:rPr>
            </w:pPr>
            <w:r w:rsidDel="00000000" w:rsidR="00000000" w:rsidRPr="00000000">
              <w:rPr>
                <w:sz w:val="34"/>
                <w:szCs w:val="34"/>
                <w:rtl w:val="0"/>
              </w:rPr>
              <w:t xml:space="preserve">Wijzigingen rond de eindejaarspremie en eenmalige premie</w:t>
            </w:r>
          </w:p>
        </w:tc>
      </w:tr>
      <w:tr>
        <w:trPr>
          <w:cantSplit w:val="0"/>
          <w:tblHeader w:val="0"/>
        </w:trPr>
        <w:tc>
          <w:tcPr>
            <w:gridSpan w:val="2"/>
            <w:shd w:fill="auto" w:val="clear"/>
            <w:tcMar>
              <w:top w:w="60.0" w:type="dxa"/>
              <w:left w:w="100.0" w:type="dxa"/>
              <w:bottom w:w="60.0" w:type="dxa"/>
              <w:right w:w="100.0" w:type="dxa"/>
            </w:tcMar>
            <w:vAlign w:val="top"/>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18">
      <w:pPr>
        <w:widowControl w:val="0"/>
        <w:spacing w:line="360" w:lineRule="auto"/>
        <w:rPr/>
      </w:pPr>
      <w:r w:rsidDel="00000000" w:rsidR="00000000" w:rsidRPr="00000000">
        <w:rPr>
          <w:rtl w:val="0"/>
        </w:rPr>
        <w:t xml:space="preserve">De Vlaamse Regering heeft op 17 januari 2025 de regelgeving definitief goedgekeurd die wijzigingen oplegt met betrekking tot de eindejaarspremie en éénmalige premie voor assistenten in het kader van het persoonsvolgend budget (PVB) en persoonlijke-assistentiebudget (PAB).</w:t>
      </w:r>
    </w:p>
    <w:p w:rsidR="00000000" w:rsidDel="00000000" w:rsidP="00000000" w:rsidRDefault="00000000" w:rsidRPr="00000000" w14:paraId="00000019">
      <w:pPr>
        <w:widowControl w:val="0"/>
        <w:spacing w:line="360" w:lineRule="auto"/>
        <w:rPr/>
      </w:pPr>
      <w:r w:rsidDel="00000000" w:rsidR="00000000" w:rsidRPr="00000000">
        <w:rPr>
          <w:rtl w:val="0"/>
        </w:rPr>
      </w:r>
    </w:p>
    <w:p w:rsidR="00000000" w:rsidDel="00000000" w:rsidP="00000000" w:rsidRDefault="00000000" w:rsidRPr="00000000" w14:paraId="0000001A">
      <w:pPr>
        <w:widowControl w:val="0"/>
        <w:spacing w:line="360" w:lineRule="auto"/>
        <w:rPr/>
      </w:pPr>
      <w:r w:rsidDel="00000000" w:rsidR="00000000" w:rsidRPr="00000000">
        <w:rPr>
          <w:rtl w:val="0"/>
        </w:rPr>
        <w:t xml:space="preserve">Deze aanpassingen gelden vanaf </w:t>
      </w:r>
      <w:r w:rsidDel="00000000" w:rsidR="00000000" w:rsidRPr="00000000">
        <w:rPr>
          <w:rtl w:val="0"/>
        </w:rPr>
        <w:t xml:space="preserve">8</w:t>
      </w:r>
      <w:r w:rsidDel="00000000" w:rsidR="00000000" w:rsidRPr="00000000">
        <w:rPr>
          <w:rtl w:val="0"/>
        </w:rPr>
        <w:t xml:space="preserve"> februari 2025, zowel voor budgethouders die gebruikmaken van een persoonlijke-assistentiebudget (PAB) als voor budgethouders met een persoonsvolgend budget (PVB).</w:t>
      </w:r>
    </w:p>
    <w:p w:rsidR="00000000" w:rsidDel="00000000" w:rsidP="00000000" w:rsidRDefault="00000000" w:rsidRPr="00000000" w14:paraId="0000001B">
      <w:pPr>
        <w:widowControl w:val="0"/>
        <w:spacing w:line="360" w:lineRule="auto"/>
        <w:rPr/>
      </w:pPr>
      <w:r w:rsidDel="00000000" w:rsidR="00000000" w:rsidRPr="00000000">
        <w:rPr>
          <w:rtl w:val="0"/>
        </w:rPr>
      </w:r>
    </w:p>
    <w:p w:rsidR="00000000" w:rsidDel="00000000" w:rsidP="00000000" w:rsidRDefault="00000000" w:rsidRPr="00000000" w14:paraId="0000001C">
      <w:pPr>
        <w:widowControl w:val="0"/>
        <w:spacing w:line="360" w:lineRule="auto"/>
        <w:rPr>
          <w:b w:val="1"/>
        </w:rPr>
      </w:pPr>
      <w:r w:rsidDel="00000000" w:rsidR="00000000" w:rsidRPr="00000000">
        <w:rPr>
          <w:b w:val="1"/>
          <w:rtl w:val="0"/>
        </w:rPr>
        <w:t xml:space="preserve">Wat verandert er?</w:t>
      </w:r>
    </w:p>
    <w:p w:rsidR="00000000" w:rsidDel="00000000" w:rsidP="00000000" w:rsidRDefault="00000000" w:rsidRPr="00000000" w14:paraId="0000001D">
      <w:pPr>
        <w:widowControl w:val="0"/>
        <w:numPr>
          <w:ilvl w:val="0"/>
          <w:numId w:val="2"/>
        </w:numPr>
        <w:spacing w:line="360" w:lineRule="auto"/>
        <w:ind w:left="720" w:hanging="360"/>
        <w:rPr>
          <w:b w:val="1"/>
        </w:rPr>
      </w:pPr>
      <w:r w:rsidDel="00000000" w:rsidR="00000000" w:rsidRPr="00000000">
        <w:rPr>
          <w:b w:val="1"/>
          <w:rtl w:val="0"/>
        </w:rPr>
        <w:t xml:space="preserve">De hoogte van de eindejaarspremie of eenmalige premie wordt beperkt</w:t>
      </w:r>
      <w:r w:rsidDel="00000000" w:rsidR="00000000" w:rsidRPr="00000000">
        <w:rPr>
          <w:rtl w:val="0"/>
        </w:rPr>
      </w:r>
    </w:p>
    <w:p w:rsidR="00000000" w:rsidDel="00000000" w:rsidP="00000000" w:rsidRDefault="00000000" w:rsidRPr="00000000" w14:paraId="0000001E">
      <w:pPr>
        <w:widowControl w:val="0"/>
        <w:spacing w:line="360" w:lineRule="auto"/>
        <w:rPr/>
      </w:pPr>
      <w:r w:rsidDel="00000000" w:rsidR="00000000" w:rsidRPr="00000000">
        <w:rPr>
          <w:rtl w:val="0"/>
        </w:rPr>
        <w:t xml:space="preserve">Voor een voltijdse tewerkstelling wordt de premie beperkt tot 54,54 % van het sectorale minimumloon van oktober binnen PC337. Praktisch betekent </w:t>
      </w:r>
      <w:r w:rsidDel="00000000" w:rsidR="00000000" w:rsidRPr="00000000">
        <w:rPr>
          <w:rtl w:val="0"/>
        </w:rPr>
        <w:t xml:space="preserve">dit</w:t>
      </w:r>
      <w:r w:rsidDel="00000000" w:rsidR="00000000" w:rsidRPr="00000000">
        <w:rPr>
          <w:rtl w:val="0"/>
        </w:rPr>
        <w:t xml:space="preserve"> dat het bedrag dat u kunt betalen met uw budget nooit hoger kan zijn dan het bedrag dat in de CAO werd bepaald.</w:t>
      </w:r>
    </w:p>
    <w:p w:rsidR="00000000" w:rsidDel="00000000" w:rsidP="00000000" w:rsidRDefault="00000000" w:rsidRPr="00000000" w14:paraId="0000001F">
      <w:pPr>
        <w:widowControl w:val="0"/>
        <w:spacing w:line="360" w:lineRule="auto"/>
        <w:rPr/>
      </w:pPr>
      <w:r w:rsidDel="00000000" w:rsidR="00000000" w:rsidRPr="00000000">
        <w:rPr>
          <w:rtl w:val="0"/>
        </w:rPr>
      </w:r>
    </w:p>
    <w:p w:rsidR="00000000" w:rsidDel="00000000" w:rsidP="00000000" w:rsidRDefault="00000000" w:rsidRPr="00000000" w14:paraId="00000020">
      <w:pPr>
        <w:widowControl w:val="0"/>
        <w:numPr>
          <w:ilvl w:val="0"/>
          <w:numId w:val="1"/>
        </w:numPr>
        <w:spacing w:line="360" w:lineRule="auto"/>
        <w:ind w:left="720" w:hanging="360"/>
        <w:rPr>
          <w:b w:val="1"/>
          <w:u w:val="none"/>
        </w:rPr>
      </w:pPr>
      <w:r w:rsidDel="00000000" w:rsidR="00000000" w:rsidRPr="00000000">
        <w:rPr>
          <w:b w:val="1"/>
          <w:rtl w:val="0"/>
        </w:rPr>
        <w:t xml:space="preserve">G</w:t>
      </w:r>
      <w:r w:rsidDel="00000000" w:rsidR="00000000" w:rsidRPr="00000000">
        <w:rPr>
          <w:b w:val="1"/>
          <w:rtl w:val="0"/>
        </w:rPr>
        <w:t xml:space="preserve">een combinatie van premies mogelijk</w:t>
      </w:r>
    </w:p>
    <w:p w:rsidR="00000000" w:rsidDel="00000000" w:rsidP="00000000" w:rsidRDefault="00000000" w:rsidRPr="00000000" w14:paraId="00000021">
      <w:pPr>
        <w:widowControl w:val="0"/>
        <w:spacing w:after="200" w:line="360" w:lineRule="auto"/>
        <w:rPr/>
      </w:pPr>
      <w:r w:rsidDel="00000000" w:rsidR="00000000" w:rsidRPr="00000000">
        <w:rPr>
          <w:rtl w:val="0"/>
        </w:rPr>
        <w:t xml:space="preserve">U kunt kiezen tussen het betalen van een eenmalige premie óf een eindejaarspremie vanuit uw persoonsvolgend budget (PVB) of persoonlijke-assistentiebudget (PAB). </w:t>
      </w:r>
    </w:p>
    <w:p w:rsidR="00000000" w:rsidDel="00000000" w:rsidP="00000000" w:rsidRDefault="00000000" w:rsidRPr="00000000" w14:paraId="00000022">
      <w:pPr>
        <w:widowControl w:val="0"/>
        <w:spacing w:after="200" w:line="360" w:lineRule="auto"/>
        <w:rPr/>
      </w:pPr>
      <w:r w:rsidDel="00000000" w:rsidR="00000000" w:rsidRPr="00000000">
        <w:rPr>
          <w:rtl w:val="0"/>
        </w:rPr>
        <w:t xml:space="preserve">Is de uitbetaling van een eindejaarspremie verplicht? Dan hebt u geen keuze en moet u verplicht de eindejaarspremie betalen. De combinatie van een eindejaarspremie en een eenmalige premie is niet toegestaan.</w:t>
      </w:r>
    </w:p>
    <w:p w:rsidR="00000000" w:rsidDel="00000000" w:rsidP="00000000" w:rsidRDefault="00000000" w:rsidRPr="00000000" w14:paraId="00000023">
      <w:pPr>
        <w:widowControl w:val="0"/>
        <w:spacing w:line="360" w:lineRule="auto"/>
        <w:rPr/>
      </w:pPr>
      <w:r w:rsidDel="00000000" w:rsidR="00000000" w:rsidRPr="00000000">
        <w:rPr>
          <w:b w:val="1"/>
          <w:rtl w:val="0"/>
        </w:rPr>
        <w:t xml:space="preserve">Wanneer is het verplicht om een eindejaarspremie te betalen?</w:t>
      </w:r>
      <w:r w:rsidDel="00000000" w:rsidR="00000000" w:rsidRPr="00000000">
        <w:rPr>
          <w:rtl w:val="0"/>
        </w:rPr>
        <w:t xml:space="preserve"> </w:t>
      </w:r>
    </w:p>
    <w:p w:rsidR="00000000" w:rsidDel="00000000" w:rsidP="00000000" w:rsidRDefault="00000000" w:rsidRPr="00000000" w14:paraId="00000024">
      <w:pPr>
        <w:widowControl w:val="0"/>
        <w:spacing w:after="200" w:line="360" w:lineRule="auto"/>
        <w:rPr/>
      </w:pPr>
      <w:r w:rsidDel="00000000" w:rsidR="00000000" w:rsidRPr="00000000">
        <w:rPr>
          <w:rtl w:val="0"/>
        </w:rPr>
        <w:t xml:space="preserve">Als u een persoonlijke assistent tewerkstelt via een </w:t>
      </w:r>
      <w:r w:rsidDel="00000000" w:rsidR="00000000" w:rsidRPr="00000000">
        <w:rPr>
          <w:rtl w:val="0"/>
        </w:rPr>
        <w:t xml:space="preserve">arbeidsovereenkomst, bent</w:t>
      </w:r>
      <w:r w:rsidDel="00000000" w:rsidR="00000000" w:rsidRPr="00000000">
        <w:rPr>
          <w:rtl w:val="0"/>
        </w:rPr>
        <w:t xml:space="preserve"> u verplicht om een eindejaarspremie uit te betalen. </w:t>
      </w:r>
    </w:p>
    <w:p w:rsidR="00000000" w:rsidDel="00000000" w:rsidP="00000000" w:rsidRDefault="00000000" w:rsidRPr="00000000" w14:paraId="00000025">
      <w:pPr>
        <w:widowControl w:val="0"/>
        <w:spacing w:after="200" w:line="360" w:lineRule="auto"/>
        <w:rPr>
          <w:b w:val="1"/>
        </w:rPr>
      </w:pPr>
      <w:r w:rsidDel="00000000" w:rsidR="00000000" w:rsidRPr="00000000">
        <w:rPr>
          <w:rtl w:val="0"/>
        </w:rPr>
        <w:t xml:space="preserve">Als u familieleden tewerkstelt via een takenovereenkomst, bent u niet verplicht om een eindejaarspremie uit te betalen. </w:t>
        <w:br w:type="textWrapping"/>
        <w:br w:type="textWrapping"/>
      </w:r>
      <w:r w:rsidDel="00000000" w:rsidR="00000000" w:rsidRPr="00000000">
        <w:rPr>
          <w:b w:val="1"/>
          <w:rtl w:val="0"/>
        </w:rPr>
        <w:t xml:space="preserve">Assistentie via een uitzendkantoor of een takenovereenkomst?</w:t>
      </w:r>
    </w:p>
    <w:p w:rsidR="00000000" w:rsidDel="00000000" w:rsidP="00000000" w:rsidRDefault="00000000" w:rsidRPr="00000000" w14:paraId="00000026">
      <w:pPr>
        <w:widowControl w:val="0"/>
        <w:spacing w:line="360" w:lineRule="auto"/>
        <w:rPr/>
      </w:pPr>
      <w:r w:rsidDel="00000000" w:rsidR="00000000" w:rsidRPr="00000000">
        <w:rPr>
          <w:rtl w:val="0"/>
        </w:rPr>
        <w:t xml:space="preserve">Werkt u met een assistent via een uitzendkantoor of op basis van een takenovereenkomst? Ook dan gelden dezelfde beperkingen. De eenmalige premie of eindejaarspremie mag in deze situaties niet hoger zijn dan het bedrag dat als eindejaarspremie in de CAO werd bepaald.</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6" w:type="default"/>
      <w:headerReference r:id="rId7" w:type="first"/>
      <w:footerReference r:id="rId8" w:type="first"/>
      <w:pgSz w:h="16838" w:w="11906" w:orient="portrait"/>
      <w:pgMar w:bottom="1870.8661417322835" w:top="1133.8582677165355" w:left="1870.8661417322835" w:right="1133.858267716535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1364840" cy="566738"/>
          <wp:effectExtent b="0" l="0" r="0" t="0"/>
          <wp:docPr descr="logo_vlaanderen-is-welzijn_word_300dpi.png" id="2" name="image1.png"/>
          <a:graphic>
            <a:graphicData uri="http://schemas.openxmlformats.org/drawingml/2006/picture">
              <pic:pic>
                <pic:nvPicPr>
                  <pic:cNvPr descr="logo_vlaanderen-is-welzijn_word_300dpi.png" id="0" name="image1.png"/>
                  <pic:cNvPicPr preferRelativeResize="0"/>
                </pic:nvPicPr>
                <pic:blipFill>
                  <a:blip r:embed="rId1"/>
                  <a:srcRect b="0" l="0" r="0" t="0"/>
                  <a:stretch>
                    <a:fillRect/>
                  </a:stretch>
                </pic:blipFill>
                <pic:spPr>
                  <a:xfrm>
                    <a:off x="0" y="0"/>
                    <a:ext cx="1364840" cy="566738"/>
                  </a:xfrm>
                  <a:prstGeom prst="rect"/>
                  <a:ln/>
                </pic:spPr>
              </pic:pic>
            </a:graphicData>
          </a:graphic>
        </wp:inline>
      </w:drawing>
    </w:r>
    <w:r w:rsidDel="00000000" w:rsidR="00000000" w:rsidRPr="00000000">
      <w:rPr>
        <w:rtl w:val="0"/>
      </w:rPr>
      <w:tab/>
      <w:tab/>
      <w:tab/>
      <w:tab/>
      <w:tab/>
      <w:tab/>
      <w:tab/>
      <w:t xml:space="preserve">Pagina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van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sz w:val="54"/>
        <w:szCs w:val="54"/>
      </w:rPr>
    </w:pPr>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drawing>
        <wp:inline distB="114300" distT="114300" distL="114300" distR="114300">
          <wp:extent cx="1319379" cy="637200"/>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319379" cy="637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b w:val="1"/>
      <w:sz w:val="38"/>
      <w:szCs w:val="38"/>
    </w:rPr>
  </w:style>
  <w:style w:type="paragraph" w:styleId="Heading2">
    <w:name w:val="heading 2"/>
    <w:basedOn w:val="Normal"/>
    <w:next w:val="Normal"/>
    <w:pPr>
      <w:keepNext w:val="1"/>
      <w:keepLines w:val="1"/>
      <w:pageBreakBefore w:val="0"/>
    </w:pPr>
    <w:rPr>
      <w:b w:val="1"/>
      <w:sz w:val="34"/>
      <w:szCs w:val="34"/>
    </w:rPr>
  </w:style>
  <w:style w:type="paragraph" w:styleId="Heading3">
    <w:name w:val="heading 3"/>
    <w:basedOn w:val="Normal"/>
    <w:next w:val="Normal"/>
    <w:pPr>
      <w:keepNext w:val="1"/>
      <w:keepLines w:val="1"/>
      <w:pageBreakBefore w:val="0"/>
    </w:pPr>
    <w:rPr>
      <w:b w:val="1"/>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pPr>
    <w:rPr>
      <w:rFonts w:ascii="Calibri" w:cs="Calibri" w:eastAsia="Calibri" w:hAnsi="Calibri"/>
      <w:color w:val="9d1a53"/>
      <w:sz w:val="52"/>
      <w:szCs w:val="52"/>
    </w:rPr>
  </w:style>
  <w:style w:type="paragraph" w:styleId="Subtitle">
    <w:name w:val="Subtitle"/>
    <w:basedOn w:val="Normal"/>
    <w:next w:val="Normal"/>
    <w:pPr>
      <w:keepNext w:val="1"/>
      <w:keepLines w:val="1"/>
      <w:pageBreakBefore w:val="0"/>
    </w:pPr>
    <w:rPr>
      <w:color w:val="9d1a53"/>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