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44"/>
        <w:gridCol w:w="552"/>
        <w:gridCol w:w="5305"/>
      </w:tblGrid>
      <w:tr w:rsidR="00E52FBB" w:rsidRPr="000F66B6" w14:paraId="756DFA9C" w14:textId="77777777" w:rsidTr="008B6066">
        <w:trPr>
          <w:trHeight w:val="270"/>
        </w:trPr>
        <w:tc>
          <w:tcPr>
            <w:tcW w:w="3652" w:type="dxa"/>
            <w:gridSpan w:val="2"/>
            <w:vMerge w:val="restart"/>
          </w:tcPr>
          <w:p w14:paraId="42F6C556" w14:textId="07525C44" w:rsidR="00E52FBB" w:rsidRDefault="00092697" w:rsidP="00B2051E">
            <w:pPr>
              <w:pStyle w:val="Brief-Adres"/>
              <w:rPr>
                <w:b/>
                <w:bCs/>
              </w:rPr>
            </w:pPr>
            <w:r w:rsidRPr="00B256BC">
              <w:rPr>
                <w:b/>
                <w:bCs/>
              </w:rPr>
              <w:t>www.vaph</w:t>
            </w:r>
            <w:r w:rsidR="00E52FBB" w:rsidRPr="00B256BC">
              <w:rPr>
                <w:b/>
                <w:bCs/>
              </w:rPr>
              <w:t>.be</w:t>
            </w:r>
          </w:p>
          <w:p w14:paraId="0FFD4F49" w14:textId="77777777" w:rsidR="00E00E5A" w:rsidRPr="00B256BC" w:rsidRDefault="00E00E5A" w:rsidP="00B2051E">
            <w:pPr>
              <w:pStyle w:val="Brief-Adres"/>
              <w:rPr>
                <w:b/>
                <w:bCs/>
              </w:rPr>
            </w:pPr>
          </w:p>
        </w:tc>
        <w:tc>
          <w:tcPr>
            <w:tcW w:w="5389" w:type="dxa"/>
            <w:tcBorders>
              <w:left w:val="nil"/>
            </w:tcBorders>
          </w:tcPr>
          <w:p w14:paraId="03D74B3C" w14:textId="77777777" w:rsidR="00E52FBB" w:rsidRPr="002F0ED6" w:rsidRDefault="00E52FBB" w:rsidP="00414D8E">
            <w:pPr>
              <w:pStyle w:val="VerslagNotaOmzendbrief-1Type"/>
            </w:pPr>
            <w:r>
              <w:t>INFONOTA</w:t>
            </w:r>
          </w:p>
        </w:tc>
      </w:tr>
      <w:tr w:rsidR="00E52FBB" w:rsidRPr="000F66B6" w14:paraId="1DDED8F4" w14:textId="77777777" w:rsidTr="008B6066">
        <w:trPr>
          <w:trHeight w:val="270"/>
        </w:trPr>
        <w:tc>
          <w:tcPr>
            <w:tcW w:w="3652" w:type="dxa"/>
            <w:gridSpan w:val="2"/>
            <w:vMerge/>
          </w:tcPr>
          <w:p w14:paraId="17342D42" w14:textId="77777777" w:rsidR="00E52FBB" w:rsidRPr="003A5274" w:rsidRDefault="00E52FBB" w:rsidP="000B63B7">
            <w:pPr>
              <w:spacing w:after="100"/>
              <w:rPr>
                <w:color w:val="808080"/>
              </w:rPr>
            </w:pPr>
          </w:p>
        </w:tc>
        <w:tc>
          <w:tcPr>
            <w:tcW w:w="5389" w:type="dxa"/>
          </w:tcPr>
          <w:p w14:paraId="47B8F6BF" w14:textId="395EDC98" w:rsidR="00E52FBB" w:rsidRPr="00746C3B" w:rsidRDefault="00E52FBB" w:rsidP="00B165F9">
            <w:pPr>
              <w:pStyle w:val="VerslagNotaOmzendbrief-2Gerichtaan"/>
            </w:pPr>
            <w:r w:rsidRPr="00746C3B">
              <w:t>Gericht aan:</w:t>
            </w:r>
            <w:r w:rsidR="00701833">
              <w:t xml:space="preserve"> multifunctionele centra (MFC)</w:t>
            </w:r>
            <w:r w:rsidRPr="00746C3B">
              <w:t xml:space="preserve"> </w:t>
            </w:r>
          </w:p>
        </w:tc>
      </w:tr>
      <w:tr w:rsidR="00E52FBB" w:rsidRPr="000F66B6" w14:paraId="6C55F465" w14:textId="77777777" w:rsidTr="0059345C">
        <w:trPr>
          <w:trHeight w:val="270"/>
        </w:trPr>
        <w:tc>
          <w:tcPr>
            <w:tcW w:w="3652" w:type="dxa"/>
            <w:gridSpan w:val="2"/>
            <w:vMerge/>
          </w:tcPr>
          <w:p w14:paraId="0935BAC5" w14:textId="77777777" w:rsidR="00E52FBB" w:rsidRPr="003A5274" w:rsidRDefault="00E52FBB" w:rsidP="000B63B7">
            <w:pPr>
              <w:spacing w:after="100"/>
              <w:rPr>
                <w:color w:val="808080"/>
              </w:rPr>
            </w:pPr>
          </w:p>
        </w:tc>
        <w:sdt>
          <w:sdtPr>
            <w:id w:val="502017849"/>
            <w:lock w:val="sdtLocked"/>
            <w:placeholder>
              <w:docPart w:val="B742AB7D7762447EB260F5A80EBDC2CE"/>
            </w:placeholder>
            <w:date w:fullDate="2025-01-21T00:00:00Z">
              <w:dateFormat w:val="d MMMM yyyy"/>
              <w:lid w:val="nl-BE"/>
              <w:storeMappedDataAs w:val="dateTime"/>
              <w:calendar w:val="gregorian"/>
            </w:date>
          </w:sdtPr>
          <w:sdtEndPr/>
          <w:sdtContent>
            <w:tc>
              <w:tcPr>
                <w:tcW w:w="5389" w:type="dxa"/>
              </w:tcPr>
              <w:p w14:paraId="6D4ADEE5" w14:textId="50D527FE" w:rsidR="00E52FBB" w:rsidRPr="002F0ED6" w:rsidRDefault="00701833" w:rsidP="00B165F9">
                <w:pPr>
                  <w:pStyle w:val="VerslagNotaOmzendbrief-3Tekst"/>
                </w:pPr>
                <w:r>
                  <w:t>21 januari 2025</w:t>
                </w:r>
              </w:p>
            </w:tc>
          </w:sdtContent>
        </w:sdt>
      </w:tr>
      <w:tr w:rsidR="00E52FBB" w:rsidRPr="000F66B6" w14:paraId="2BBDBA3A" w14:textId="77777777" w:rsidTr="0059345C">
        <w:trPr>
          <w:trHeight w:val="270"/>
        </w:trPr>
        <w:tc>
          <w:tcPr>
            <w:tcW w:w="3652" w:type="dxa"/>
            <w:gridSpan w:val="2"/>
            <w:vMerge/>
          </w:tcPr>
          <w:p w14:paraId="388DB49D" w14:textId="77777777" w:rsidR="00E52FBB" w:rsidRPr="003A5274" w:rsidRDefault="00E52FBB" w:rsidP="000B63B7">
            <w:pPr>
              <w:spacing w:after="100"/>
              <w:rPr>
                <w:color w:val="808080"/>
              </w:rPr>
            </w:pPr>
          </w:p>
        </w:tc>
        <w:tc>
          <w:tcPr>
            <w:tcW w:w="5389" w:type="dxa"/>
          </w:tcPr>
          <w:p w14:paraId="2F56B07F" w14:textId="1F63423B" w:rsidR="00E52FBB" w:rsidRDefault="00701833" w:rsidP="00E52FBB">
            <w:pPr>
              <w:pStyle w:val="VerslagNotaOmzendbrief-3Tekst"/>
            </w:pPr>
            <w:r>
              <w:t>INF/25/02</w:t>
            </w:r>
          </w:p>
        </w:tc>
      </w:tr>
      <w:tr w:rsidR="00E52FBB" w:rsidRPr="000F66B6" w14:paraId="307C5535" w14:textId="77777777" w:rsidTr="0005457B">
        <w:trPr>
          <w:trHeight w:val="270"/>
        </w:trPr>
        <w:tc>
          <w:tcPr>
            <w:tcW w:w="3652" w:type="dxa"/>
            <w:gridSpan w:val="2"/>
            <w:vMerge/>
          </w:tcPr>
          <w:p w14:paraId="289DFE7D" w14:textId="77777777" w:rsidR="00E52FBB" w:rsidRPr="003A5274" w:rsidRDefault="00E52FBB" w:rsidP="000B63B7">
            <w:pPr>
              <w:spacing w:after="100"/>
              <w:rPr>
                <w:color w:val="808080"/>
              </w:rPr>
            </w:pPr>
          </w:p>
        </w:tc>
        <w:tc>
          <w:tcPr>
            <w:tcW w:w="5389" w:type="dxa"/>
          </w:tcPr>
          <w:p w14:paraId="5038DCD2" w14:textId="77777777" w:rsidR="00E52FBB" w:rsidRDefault="00E52FBB" w:rsidP="000B63B7">
            <w:pPr>
              <w:jc w:val="right"/>
            </w:pPr>
          </w:p>
        </w:tc>
      </w:tr>
      <w:tr w:rsidR="008B6066" w14:paraId="1227B8B3"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2CDDA1D4" w14:textId="77777777" w:rsidR="008B6066" w:rsidRPr="008B6066" w:rsidRDefault="008B6066" w:rsidP="008B6066">
            <w:pPr>
              <w:tabs>
                <w:tab w:val="left" w:pos="2430"/>
              </w:tabs>
              <w:jc w:val="right"/>
              <w:rPr>
                <w:b w:val="0"/>
                <w:lang w:val="en-US"/>
              </w:rPr>
            </w:pPr>
            <w:r>
              <w:rPr>
                <w:lang w:val="en-US"/>
              </w:rPr>
              <w:t>Contactpersoon</w:t>
            </w:r>
          </w:p>
        </w:tc>
        <w:tc>
          <w:tcPr>
            <w:tcW w:w="5956" w:type="dxa"/>
            <w:gridSpan w:val="2"/>
            <w:tcBorders>
              <w:top w:val="nil"/>
              <w:left w:val="nil"/>
              <w:bottom w:val="nil"/>
              <w:right w:val="nil"/>
            </w:tcBorders>
            <w:shd w:val="clear" w:color="auto" w:fill="auto"/>
          </w:tcPr>
          <w:p w14:paraId="4D96181C" w14:textId="17D54C47" w:rsidR="008B6066" w:rsidRDefault="0096651F" w:rsidP="008B6066">
            <w:pPr>
              <w:tabs>
                <w:tab w:val="left" w:pos="2430"/>
              </w:tabs>
              <w:cnfStyle w:val="000000000000" w:firstRow="0" w:lastRow="0" w:firstColumn="0" w:lastColumn="0" w:oddVBand="0" w:evenVBand="0" w:oddHBand="0" w:evenHBand="0" w:firstRowFirstColumn="0" w:firstRowLastColumn="0" w:lastRowFirstColumn="0" w:lastRowLastColumn="0"/>
              <w:rPr>
                <w:lang w:val="en-US"/>
              </w:rPr>
            </w:pPr>
            <w:r w:rsidRPr="0096651F">
              <w:t>Afdeling Vergunnen en Financieren</w:t>
            </w:r>
          </w:p>
        </w:tc>
      </w:tr>
      <w:tr w:rsidR="0005457B" w14:paraId="028C190C"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18E56C4B" w14:textId="77777777" w:rsidR="0005457B" w:rsidRDefault="0005457B" w:rsidP="008B6066">
            <w:pPr>
              <w:tabs>
                <w:tab w:val="left" w:pos="2430"/>
              </w:tabs>
              <w:jc w:val="right"/>
              <w:rPr>
                <w:lang w:val="en-US"/>
              </w:rPr>
            </w:pPr>
            <w:r>
              <w:rPr>
                <w:lang w:val="en-US"/>
              </w:rPr>
              <w:t>E-mail</w:t>
            </w:r>
          </w:p>
        </w:tc>
        <w:tc>
          <w:tcPr>
            <w:tcW w:w="5956" w:type="dxa"/>
            <w:gridSpan w:val="2"/>
            <w:tcBorders>
              <w:top w:val="nil"/>
              <w:left w:val="nil"/>
              <w:bottom w:val="nil"/>
              <w:right w:val="nil"/>
            </w:tcBorders>
            <w:shd w:val="clear" w:color="auto" w:fill="auto"/>
          </w:tcPr>
          <w:p w14:paraId="347834BD" w14:textId="7595C1D4" w:rsidR="0005457B" w:rsidRDefault="0096651F" w:rsidP="008B6066">
            <w:pPr>
              <w:tabs>
                <w:tab w:val="left" w:pos="2430"/>
              </w:tabs>
              <w:cnfStyle w:val="000000000000" w:firstRow="0" w:lastRow="0" w:firstColumn="0" w:lastColumn="0" w:oddVBand="0" w:evenVBand="0" w:oddHBand="0" w:evenHBand="0" w:firstRowFirstColumn="0" w:firstRowLastColumn="0" w:lastRowFirstColumn="0" w:lastRowLastColumn="0"/>
            </w:pPr>
            <w:r w:rsidRPr="0096651F">
              <w:t>clientregistratie@vaph.be</w:t>
            </w:r>
          </w:p>
        </w:tc>
      </w:tr>
      <w:tr w:rsidR="0005457B" w14:paraId="61495C37"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53A9816E" w14:textId="77777777" w:rsidR="0005457B" w:rsidRDefault="0005457B" w:rsidP="008B6066">
            <w:pPr>
              <w:tabs>
                <w:tab w:val="left" w:pos="2430"/>
              </w:tabs>
              <w:jc w:val="right"/>
              <w:rPr>
                <w:lang w:val="en-US"/>
              </w:rPr>
            </w:pPr>
            <w:r>
              <w:rPr>
                <w:lang w:val="en-US"/>
              </w:rPr>
              <w:t>Telefoon</w:t>
            </w:r>
          </w:p>
        </w:tc>
        <w:tc>
          <w:tcPr>
            <w:tcW w:w="5956" w:type="dxa"/>
            <w:gridSpan w:val="2"/>
            <w:tcBorders>
              <w:top w:val="nil"/>
              <w:left w:val="nil"/>
              <w:bottom w:val="nil"/>
              <w:right w:val="nil"/>
            </w:tcBorders>
            <w:shd w:val="clear" w:color="auto" w:fill="auto"/>
          </w:tcPr>
          <w:p w14:paraId="28D728EA" w14:textId="1297778E" w:rsidR="0005457B" w:rsidRDefault="0096651F" w:rsidP="008B6066">
            <w:pPr>
              <w:tabs>
                <w:tab w:val="left" w:pos="2430"/>
              </w:tabs>
              <w:cnfStyle w:val="000000000000" w:firstRow="0" w:lastRow="0" w:firstColumn="0" w:lastColumn="0" w:oddVBand="0" w:evenVBand="0" w:oddHBand="0" w:evenHBand="0" w:firstRowFirstColumn="0" w:firstRowLastColumn="0" w:lastRowFirstColumn="0" w:lastRowLastColumn="0"/>
            </w:pPr>
            <w:r w:rsidRPr="0096651F">
              <w:t>02 249 33 66</w:t>
            </w:r>
          </w:p>
        </w:tc>
      </w:tr>
      <w:tr w:rsidR="0005457B" w14:paraId="0F2A649B"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5663A78F" w14:textId="77777777" w:rsidR="0005457B" w:rsidRDefault="0005457B" w:rsidP="008B6066">
            <w:pPr>
              <w:tabs>
                <w:tab w:val="left" w:pos="2430"/>
              </w:tabs>
              <w:jc w:val="right"/>
              <w:rPr>
                <w:lang w:val="en-US"/>
              </w:rPr>
            </w:pPr>
            <w:r>
              <w:rPr>
                <w:lang w:val="en-US"/>
              </w:rPr>
              <w:t>Bijlagen</w:t>
            </w:r>
          </w:p>
        </w:tc>
        <w:tc>
          <w:tcPr>
            <w:tcW w:w="5956" w:type="dxa"/>
            <w:gridSpan w:val="2"/>
            <w:tcBorders>
              <w:top w:val="nil"/>
              <w:left w:val="nil"/>
              <w:bottom w:val="nil"/>
              <w:right w:val="nil"/>
            </w:tcBorders>
            <w:shd w:val="clear" w:color="auto" w:fill="auto"/>
          </w:tcPr>
          <w:p w14:paraId="48200346" w14:textId="5F5572C0" w:rsidR="0005457B" w:rsidRDefault="0096651F" w:rsidP="008B6066">
            <w:pPr>
              <w:tabs>
                <w:tab w:val="left" w:pos="2430"/>
              </w:tabs>
              <w:cnfStyle w:val="000000000000" w:firstRow="0" w:lastRow="0" w:firstColumn="0" w:lastColumn="0" w:oddVBand="0" w:evenVBand="0" w:oddHBand="0" w:evenHBand="0" w:firstRowFirstColumn="0" w:firstRowLastColumn="0" w:lastRowFirstColumn="0" w:lastRowLastColumn="0"/>
            </w:pPr>
            <w:r>
              <w:t>-</w:t>
            </w:r>
          </w:p>
        </w:tc>
      </w:tr>
    </w:tbl>
    <w:p w14:paraId="68624F6B" w14:textId="77777777" w:rsidR="008B6066" w:rsidRDefault="008B6066" w:rsidP="008B6066">
      <w:pPr>
        <w:tabs>
          <w:tab w:val="left" w:pos="2430"/>
        </w:tabs>
        <w:rPr>
          <w:lang w:val="en-US"/>
        </w:rPr>
      </w:pPr>
    </w:p>
    <w:p w14:paraId="1E8DB628" w14:textId="57FB6700" w:rsidR="0005457B" w:rsidRDefault="0096651F" w:rsidP="008B6066">
      <w:pPr>
        <w:tabs>
          <w:tab w:val="left" w:pos="2430"/>
        </w:tabs>
      </w:pPr>
      <w:r w:rsidRPr="0096651F">
        <w:rPr>
          <w:rFonts w:cs="Calibri"/>
          <w:color w:val="000000"/>
          <w:sz w:val="34"/>
          <w:szCs w:val="34"/>
        </w:rPr>
        <w:t>Bijdrage MFC: wijziging bestemming verdeelsleutel 2/3e gezinsbijslagen groeipakket bij NRTH-verblijf</w:t>
      </w:r>
    </w:p>
    <w:p w14:paraId="3572CCA6" w14:textId="77777777" w:rsidR="00E82FFD" w:rsidRDefault="0071781E" w:rsidP="0071781E">
      <w:pPr>
        <w:rPr>
          <w:rFonts w:eastAsia="Times New Roman" w:cs="Calibri"/>
          <w:color w:val="000000"/>
          <w:lang w:eastAsia="nl-BE"/>
        </w:rPr>
      </w:pPr>
      <w:r>
        <w:rPr>
          <w:rFonts w:eastAsia="Times New Roman" w:cs="Calibri"/>
          <w:color w:val="000000"/>
          <w:lang w:eastAsia="nl-BE"/>
        </w:rPr>
        <w:t xml:space="preserve">De </w:t>
      </w:r>
      <w:r w:rsidRPr="0071781E">
        <w:rPr>
          <w:rFonts w:eastAsia="Times New Roman" w:cs="Calibri"/>
          <w:color w:val="000000"/>
          <w:lang w:eastAsia="nl-BE"/>
        </w:rPr>
        <w:t>vorige Vlaamse regering wijzigde in de regelgeving van het groeipakket de regeling omtrent de begunstigde van 2/3e van de gezinsbijslagen bij niet-rechtstreeks toegankelijk verblijf. Tot en met 2024 ontvingen multifunctionele centra (MFC), na melding bij de uitbetaler van het groeipakket, vanaf de start van niet-rechtstreeks toegankelijk verblijf, 2/3e van de gezinsbijslagen van het groeipakket via één van de uitbetalers. De nieuwe regelgeving groeipakket beëindigt deze werkwijze.</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Vanaf 2025 zullen de uitbetalers niet meer instaan voor de uitbetaling van dit bedrag, maar zal het VAPH instaan voor de maandelijkse betaling. Dit heeft geen impact op de bijdrageregeling van de multifunctionele centra, maar wel op de financiële stroom van het groeipakket.</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Omwille van deze wijziging in de regelgeving van het groeipakket werd een nieuwe werkwijze uitgewerkt. Deze nota geeft hiervan een overzicht.</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i/>
          <w:iCs/>
          <w:color w:val="000000"/>
          <w:lang w:eastAsia="nl-BE"/>
        </w:rPr>
        <w:t>Belangrijk om te vermelden is dat de regeling voor minderjarigen die vanuit Brussel kinderbijslag ontvangen niet wijzigt. Daar blijft de storting van 2/3e van de gezinsbijslagen aan het MFC verder lopen.</w:t>
      </w:r>
      <w:r w:rsidRPr="0071781E">
        <w:rPr>
          <w:rFonts w:eastAsia="Times New Roman" w:cs="Calibri"/>
          <w:i/>
          <w:iCs/>
          <w:color w:val="000000"/>
          <w:lang w:eastAsia="nl-BE"/>
        </w:rPr>
        <w:br/>
        <w:t xml:space="preserve">Ook de opvolging van de </w:t>
      </w:r>
      <w:hyperlink r:id="rId8" w:history="1">
        <w:r w:rsidRPr="0048529A">
          <w:rPr>
            <w:rStyle w:val="Hyperlink"/>
            <w:rFonts w:eastAsia="Times New Roman" w:cs="Calibri"/>
            <w:i/>
            <w:iCs/>
            <w:lang w:eastAsia="nl-BE"/>
          </w:rPr>
          <w:t>overgangsmaatregelen i.k.v. transitie onderwijsinternaten</w:t>
        </w:r>
      </w:hyperlink>
      <w:r w:rsidRPr="0071781E">
        <w:rPr>
          <w:rFonts w:eastAsia="Times New Roman" w:cs="Calibri"/>
          <w:i/>
          <w:iCs/>
          <w:color w:val="000000"/>
          <w:lang w:eastAsia="nl-BE"/>
        </w:rPr>
        <w:t xml:space="preserve"> wijzigt niet. Deze minderjarigen worden tot aan een schakelmoment buiten het reguliere bijdragesysteem gehouden.</w:t>
      </w:r>
      <w:r w:rsidRPr="0071781E">
        <w:rPr>
          <w:rFonts w:eastAsia="Times New Roman" w:cs="Calibri"/>
          <w:i/>
          <w:iCs/>
          <w:color w:val="000000"/>
          <w:lang w:eastAsia="nl-BE"/>
        </w:rPr>
        <w:br/>
      </w:r>
      <w:r>
        <w:rPr>
          <w:rFonts w:eastAsia="Times New Roman" w:cs="Calibri"/>
          <w:color w:val="000000"/>
          <w:lang w:eastAsia="nl-BE"/>
        </w:rPr>
        <w:br/>
      </w:r>
      <w:r>
        <w:rPr>
          <w:rFonts w:eastAsia="Times New Roman" w:cs="Calibri"/>
          <w:color w:val="000000"/>
          <w:lang w:eastAsia="nl-BE"/>
        </w:rPr>
        <w:br/>
      </w:r>
      <w:r w:rsidR="00D23330">
        <w:rPr>
          <w:rStyle w:val="Kop3Char"/>
          <w:lang w:val="nl-BE" w:eastAsia="nl-BE"/>
        </w:rPr>
        <w:t xml:space="preserve">1. </w:t>
      </w:r>
      <w:r w:rsidRPr="00D23330">
        <w:rPr>
          <w:rStyle w:val="Kop3Char"/>
          <w:lang w:val="nl-BE" w:eastAsia="nl-BE"/>
        </w:rPr>
        <w:t>Melden van start en einde niet-rechtstreeks toegankelijk verblijf in een MFC</w:t>
      </w:r>
      <w:r w:rsidRPr="00D23330">
        <w:rPr>
          <w:rStyle w:val="Kop3Char"/>
        </w:rPr>
        <w:br/>
      </w:r>
      <w:r>
        <w:rPr>
          <w:rFonts w:eastAsia="Times New Roman" w:cs="Calibri"/>
          <w:color w:val="000000"/>
          <w:lang w:eastAsia="nl-BE"/>
        </w:rPr>
        <w:br/>
      </w:r>
      <w:r w:rsidRPr="0071781E">
        <w:rPr>
          <w:rFonts w:eastAsia="Times New Roman" w:cs="Calibri"/>
          <w:color w:val="000000"/>
          <w:lang w:eastAsia="nl-BE"/>
        </w:rPr>
        <w:t xml:space="preserve">MFC moeten de start en het einde van niet-rechtstreeks toegankelijk verblijf in een MFC nog steeds onmiddellijk </w:t>
      </w:r>
      <w:r w:rsidRPr="00D23330">
        <w:rPr>
          <w:rFonts w:eastAsia="Times New Roman" w:cs="Calibri"/>
          <w:b/>
          <w:bCs/>
          <w:color w:val="000000"/>
          <w:lang w:eastAsia="nl-BE"/>
        </w:rPr>
        <w:t xml:space="preserve">melden aan de uitbetaler </w:t>
      </w:r>
      <w:r w:rsidRPr="0071781E">
        <w:rPr>
          <w:rFonts w:eastAsia="Times New Roman" w:cs="Calibri"/>
          <w:color w:val="000000"/>
          <w:lang w:eastAsia="nl-BE"/>
        </w:rPr>
        <w:t>van het groeipakket. Na de melding van de start van NRTH-</w:t>
      </w:r>
      <w:r w:rsidRPr="0071781E">
        <w:rPr>
          <w:rFonts w:eastAsia="Times New Roman" w:cs="Calibri"/>
          <w:color w:val="000000"/>
          <w:lang w:eastAsia="nl-BE"/>
        </w:rPr>
        <w:lastRenderedPageBreak/>
        <w:t>verblijf wordt 2/3e van de gezinsbijslagen van het groeipakket niet meer uitbetaald aan de begunstigde.</w:t>
      </w:r>
      <w:r>
        <w:rPr>
          <w:rFonts w:eastAsia="Times New Roman" w:cs="Calibri"/>
          <w:color w:val="000000"/>
          <w:lang w:eastAsia="nl-BE"/>
        </w:rPr>
        <w:br/>
      </w:r>
      <w:r w:rsidRPr="0071781E">
        <w:rPr>
          <w:rFonts w:eastAsia="Times New Roman" w:cs="Calibri"/>
          <w:color w:val="000000"/>
          <w:lang w:eastAsia="nl-BE"/>
        </w:rPr>
        <w:t>Ook het einde van niet-rechtstreeks toegankelijk verblijf in een MFC moet nog steeds door het MFC onmiddellijk worden gemeld aan de uitbetaler van het groeipakket. Vanaf dan eindigt de verdeelsleutel en ontvangt de begunstigde terug zijn volledige groeipakket.</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Deze meldingen aan uitbetalers door het MFC blijven - samen met het tijdig registreren van een begeleidingsovereenkomst in GIR - belangrijk voor het correct verlopen van de financiële stroom.</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 xml:space="preserve">Deze melding kan per mail of via </w:t>
      </w:r>
      <w:hyperlink r:id="rId9" w:anchor=":~:text=instelling%20geplaatst%20zijn-,P3%2Dformulier%3A%20gezinsbijslag%20voor%20kinderen%20of%20jongeren%20die,in%20een%20instelling%20geplaatst%20zijn&amp;text=Met%20dit%20P3%2Dformulier%20van,een%20plaatsing%20(NRTH%20verblijf)." w:history="1">
        <w:r w:rsidRPr="00D23330">
          <w:rPr>
            <w:rStyle w:val="Hyperlink"/>
            <w:rFonts w:eastAsia="Times New Roman" w:cs="Calibri"/>
            <w:lang w:eastAsia="nl-BE"/>
          </w:rPr>
          <w:t>formulier P3</w:t>
        </w:r>
      </w:hyperlink>
      <w:r w:rsidRPr="0071781E">
        <w:rPr>
          <w:rFonts w:eastAsia="Times New Roman" w:cs="Calibri"/>
          <w:color w:val="000000"/>
          <w:lang w:eastAsia="nl-BE"/>
        </w:rPr>
        <w:t xml:space="preserve"> gebeuren.</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Bij combinaties van NRTH-verblijfsondersteuning in meerdere MFC mag maar één MFC het verblijf bij hen melden. Het MFC waar het zwaartepunt van de ondersteuning ligt doet de melding en zal 2/3e van de gezinsbijslagen ontvangen (zie verder). De betrokken MFC’s maken onderlinge afspraken over de te innen bijdrage.</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 xml:space="preserve">Ook de regeling van de intersectorale combinaties blijft van toepassing. Waar het zwaartepunt van het verblijf ligt volgens de jeugdhulpbeslissing of volgens de beschikking of vonnis van de jeugdrechtbank, gaat 2/3de van de gezinsbijslag naartoe. Indien er een combinatie van NRTH-verblijf met pleegzorg gebeurt, worden de pleegouders beschouwd als het natuurlijk gezin en gelden dezelfde regels als bij een gewoon NRTH-verblijf. </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Indien verblijf in een MFC wordt aangeboden onder de modules crisisverblijf (op verwijzing crisismeldpunt) of verblijf voor minderjarigen met een handicap (kortdurend) mag de start niet gemeld worden aan de uitbetaler. Begunstigden blijven het volledige groeipakket ontvangen. Bij crisisverblijf (op verwijzing van crisismeldpunt) mag er bovendien ook geen bijdrage aangerekend worden.</w:t>
      </w:r>
      <w:r>
        <w:rPr>
          <w:rFonts w:eastAsia="Times New Roman" w:cs="Calibri"/>
          <w:color w:val="000000"/>
          <w:lang w:eastAsia="nl-BE"/>
        </w:rPr>
        <w:br/>
      </w:r>
      <w:r>
        <w:rPr>
          <w:rFonts w:eastAsia="Times New Roman" w:cs="Calibri"/>
          <w:color w:val="000000"/>
          <w:lang w:eastAsia="nl-BE"/>
        </w:rPr>
        <w:br/>
      </w:r>
      <w:r w:rsidR="00D23330">
        <w:rPr>
          <w:rStyle w:val="Kop3Char"/>
          <w:lang w:val="nl-BE" w:eastAsia="nl-BE"/>
        </w:rPr>
        <w:t xml:space="preserve">2. </w:t>
      </w:r>
      <w:r w:rsidRPr="00D23330">
        <w:rPr>
          <w:rStyle w:val="Kop3Char"/>
          <w:lang w:val="nl-BE" w:eastAsia="nl-BE"/>
        </w:rPr>
        <w:t>Nieuwe werkwijze: financiële stroom 2/3e gezinsbijslagen groeipakket</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Het VAPH zal in zijn begroting beschikken over het bedrag, overeenkomstig de 2/3e gezinsbijslagen voor NRTH-verblijf in een MFC.</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Het MFC meldt de start van niet-rechtstreeks toegankelijk verblijf aan de uitbetaler van het groeipakket. Vanaf dan ontvangt begunstigde nog 1/3e van de gezinsbijslagen of wordt dit gespaard voor de minderjarige. Dit is geen wijziging, maar behoud van de bestaande werkwijze.</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Het MFC ontvangt, i.p.v. de verschillende stortingen per uitbetaler en per kind, maandelijks vanuit het VAPH één bedrag dat is samengesteld uit de 2/3e gezinsbijslagen van de verschillende minderjarigen.</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Daarnaast bezorgt het VAPH via de GIR een rapport “</w:t>
      </w:r>
      <w:r w:rsidRPr="00E82FFD">
        <w:rPr>
          <w:rFonts w:eastAsia="Times New Roman" w:cs="Calibri"/>
          <w:b/>
          <w:bCs/>
          <w:color w:val="000000"/>
          <w:lang w:eastAsia="nl-BE"/>
        </w:rPr>
        <w:t>Groeipakket NRTH-verblijf</w:t>
      </w:r>
      <w:r w:rsidRPr="0071781E">
        <w:rPr>
          <w:rFonts w:eastAsia="Times New Roman" w:cs="Calibri"/>
          <w:color w:val="000000"/>
          <w:lang w:eastAsia="nl-BE"/>
        </w:rPr>
        <w:t>”, met daarin voor uw MFC een overzicht van de  minderjarigen waarvan het NRTH-verblijf werd gemeld aan de uitbetaler en 2/3e van de gezinsbijslagen van het groeipakket is opgenomen in het bedrag dat aan uw MFC werd overgemaakt. Het rapport geeft per kind ook een overzicht van de deelbedragen (basisbedrag, eventuele leeftijdstoeslag, zorgtoeslag voor kinderen met specifieke ondersteuningsbehoeften en overige componenten), zodat het MFC de cliëntbijdrage correct kan verrekenen volgens bepalingen in de MFC-regelgeving.</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 xml:space="preserve">Het VAPH stelt dit overzicht samen o.b.v. informatie die wordt doorgegeven door het Agentschap </w:t>
      </w:r>
      <w:r w:rsidRPr="0071781E">
        <w:rPr>
          <w:rFonts w:eastAsia="Times New Roman" w:cs="Calibri"/>
          <w:color w:val="000000"/>
          <w:lang w:eastAsia="nl-BE"/>
        </w:rPr>
        <w:lastRenderedPageBreak/>
        <w:t>Uitbetaling Groeipakket en de registratie van begeleidingsovereenkomsten met vork ‘verblijf’ in de GIR. Het bedrag en overzicht kan enkel correct zijn als de MFC de start en einde van NRTH-verblijf tijdig melden aan de uitbetalers en de begeleidingsovereenkomst correct werd geregistreerd in GIR.</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MFC kunnen dit overzicht gebruiken om zowel de verplichte bijdrage correct te innen en eventueel een te veel ingehouden 2/3e gezinsbijslagen van het groeipakket terug over te maken aan begunstigde. Daarnaast zal een MFC geen stortingen uit het verleden of terugvorderingen van uitbetalingen meer ontvangen vanuit uitbetalers groeipakket.</w:t>
      </w: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 xml:space="preserve">De </w:t>
      </w:r>
      <w:hyperlink r:id="rId10" w:history="1">
        <w:r w:rsidRPr="00E82FFD">
          <w:rPr>
            <w:rStyle w:val="Hyperlink"/>
            <w:rFonts w:eastAsia="Times New Roman" w:cs="Calibri"/>
            <w:lang w:eastAsia="nl-BE"/>
          </w:rPr>
          <w:t>bijdrageregeling MFC</w:t>
        </w:r>
      </w:hyperlink>
      <w:r w:rsidRPr="0071781E">
        <w:rPr>
          <w:rFonts w:eastAsia="Times New Roman" w:cs="Calibri"/>
          <w:color w:val="000000"/>
          <w:lang w:eastAsia="nl-BE"/>
        </w:rPr>
        <w:t xml:space="preserve"> wordt binnen deze nieuwe werkwijze niet gewijzigd.</w:t>
      </w:r>
      <w:r>
        <w:rPr>
          <w:rFonts w:eastAsia="Times New Roman" w:cs="Calibri"/>
          <w:color w:val="000000"/>
          <w:lang w:eastAsia="nl-BE"/>
        </w:rPr>
        <w:br/>
      </w:r>
      <w:r>
        <w:rPr>
          <w:rFonts w:eastAsia="Times New Roman" w:cs="Calibri"/>
          <w:color w:val="000000"/>
          <w:lang w:eastAsia="nl-BE"/>
        </w:rPr>
        <w:br/>
      </w:r>
      <w:r w:rsidRPr="00E82FFD">
        <w:rPr>
          <w:rFonts w:eastAsia="Times New Roman" w:cs="Calibri"/>
          <w:b/>
          <w:bCs/>
          <w:color w:val="000000"/>
          <w:lang w:eastAsia="nl-BE"/>
        </w:rPr>
        <w:t>Opgelet: Het VAPH zal het eerste overzicht van Agentschap Uitbetaling Groeipakket ontvangen midden februari. In de tweede helft van februari volgt de betaling aan het MFC en zal in de GIR ook een overzicht per cliënt beschikbaar zijn.</w:t>
      </w:r>
      <w:r w:rsidRPr="00E82FFD">
        <w:rPr>
          <w:rFonts w:eastAsia="Times New Roman" w:cs="Calibri"/>
          <w:b/>
          <w:bCs/>
          <w:color w:val="000000"/>
          <w:lang w:eastAsia="nl-BE"/>
        </w:rPr>
        <w:br/>
      </w:r>
      <w:r>
        <w:rPr>
          <w:rFonts w:eastAsia="Times New Roman" w:cs="Calibri"/>
          <w:color w:val="000000"/>
          <w:lang w:eastAsia="nl-BE"/>
        </w:rPr>
        <w:br/>
      </w:r>
    </w:p>
    <w:p w14:paraId="3D91E0CB" w14:textId="7EFFC699" w:rsidR="00B256BC" w:rsidRDefault="0071781E" w:rsidP="0071781E">
      <w:pPr>
        <w:rPr>
          <w:lang w:val="en-US"/>
        </w:rPr>
      </w:pPr>
      <w:r>
        <w:rPr>
          <w:rFonts w:eastAsia="Times New Roman" w:cs="Calibri"/>
          <w:color w:val="000000"/>
          <w:lang w:eastAsia="nl-BE"/>
        </w:rPr>
        <w:br/>
      </w:r>
      <w:r>
        <w:rPr>
          <w:rFonts w:eastAsia="Times New Roman" w:cs="Calibri"/>
          <w:color w:val="000000"/>
          <w:lang w:eastAsia="nl-BE"/>
        </w:rPr>
        <w:br/>
      </w:r>
      <w:r w:rsidRPr="0071781E">
        <w:rPr>
          <w:rFonts w:eastAsia="Times New Roman" w:cs="Calibri"/>
          <w:color w:val="000000"/>
          <w:lang w:eastAsia="nl-BE"/>
        </w:rPr>
        <w:t>James Van Casteren</w:t>
      </w:r>
      <w:r>
        <w:rPr>
          <w:rFonts w:eastAsia="Times New Roman" w:cs="Calibri"/>
          <w:color w:val="000000"/>
          <w:lang w:eastAsia="nl-BE"/>
        </w:rPr>
        <w:br/>
      </w:r>
      <w:r w:rsidRPr="0071781E">
        <w:rPr>
          <w:rFonts w:eastAsia="Times New Roman" w:cs="Calibri"/>
          <w:color w:val="000000"/>
          <w:lang w:eastAsia="nl-BE"/>
        </w:rPr>
        <w:t>Administrateur-generaal</w:t>
      </w:r>
    </w:p>
    <w:p w14:paraId="2069916F" w14:textId="77777777" w:rsidR="00B256BC" w:rsidRPr="00B165F9" w:rsidRDefault="00B256BC" w:rsidP="00B256BC">
      <w:pPr>
        <w:tabs>
          <w:tab w:val="left" w:pos="2430"/>
        </w:tabs>
        <w:rPr>
          <w:lang w:val="en-US"/>
        </w:rPr>
      </w:pPr>
    </w:p>
    <w:sectPr w:rsidR="00B256BC" w:rsidRPr="00B165F9" w:rsidSect="0085716F">
      <w:footerReference w:type="default" r:id="rId11"/>
      <w:headerReference w:type="first" r:id="rId12"/>
      <w:footerReference w:type="first" r:id="rId13"/>
      <w:pgSz w:w="11906" w:h="16838" w:code="9"/>
      <w:pgMar w:top="1134" w:right="1134" w:bottom="1871" w:left="1871"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2A58" w14:textId="77777777" w:rsidR="00701833" w:rsidRDefault="00701833" w:rsidP="00A13B42">
      <w:r>
        <w:separator/>
      </w:r>
    </w:p>
    <w:p w14:paraId="0E3B5867" w14:textId="77777777" w:rsidR="00701833" w:rsidRDefault="00701833"/>
  </w:endnote>
  <w:endnote w:type="continuationSeparator" w:id="0">
    <w:p w14:paraId="4573DB54" w14:textId="77777777" w:rsidR="00701833" w:rsidRDefault="00701833" w:rsidP="00A13B42">
      <w:r>
        <w:continuationSeparator/>
      </w:r>
    </w:p>
    <w:p w14:paraId="08B20D25" w14:textId="77777777" w:rsidR="00701833" w:rsidRDefault="00701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635" w14:textId="77777777" w:rsidR="00B2051E" w:rsidRDefault="00B2051E">
    <w:pPr>
      <w:pStyle w:val="Voettekst"/>
    </w:pPr>
    <w:r w:rsidRPr="00516E9E">
      <w:t xml:space="preserve">pagina </w:t>
    </w:r>
    <w:r w:rsidRPr="00516E9E">
      <w:fldChar w:fldCharType="begin"/>
    </w:r>
    <w:r w:rsidRPr="00516E9E">
      <w:instrText xml:space="preserve"> PAGE   \* MERGEFORMAT </w:instrText>
    </w:r>
    <w:r w:rsidRPr="00516E9E">
      <w:fldChar w:fldCharType="separate"/>
    </w:r>
    <w:r w:rsidR="00C270F8">
      <w:rPr>
        <w:noProof/>
      </w:rPr>
      <w:t>2</w:t>
    </w:r>
    <w:r w:rsidRPr="00516E9E">
      <w:fldChar w:fldCharType="end"/>
    </w:r>
    <w:r w:rsidRPr="00516E9E">
      <w:t xml:space="preserve"> van </w:t>
    </w:r>
    <w:fldSimple w:instr=" NUMPAGES   \* MERGEFORMAT ">
      <w:r w:rsidR="00C270F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048D" w14:textId="77777777" w:rsidR="00B2051E" w:rsidRDefault="00B2051E">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EA0983">
      <w:rPr>
        <w:noProof/>
      </w:rPr>
      <w:t>1</w:t>
    </w:r>
    <w:r w:rsidRPr="00516E9E">
      <w:fldChar w:fldCharType="end"/>
    </w:r>
    <w:r w:rsidRPr="00516E9E">
      <w:t xml:space="preserve"> van </w:t>
    </w:r>
    <w:fldSimple w:instr=" NUMPAGES   \* MERGEFORMAT ">
      <w:r w:rsidR="00EA0983">
        <w:rPr>
          <w:noProof/>
        </w:rPr>
        <w:t>1</w:t>
      </w:r>
    </w:fldSimple>
    <w:r w:rsidRPr="00516E9E">
      <w:rPr>
        <w:noProof/>
        <w:lang w:val="en-US"/>
      </w:rPr>
      <w:drawing>
        <wp:anchor distT="0" distB="0" distL="114300" distR="114300" simplePos="0" relativeHeight="251679744" behindDoc="0" locked="0" layoutInCell="1" allowOverlap="1" wp14:anchorId="65B93EE1" wp14:editId="0EAE2644">
          <wp:simplePos x="0" y="0"/>
          <wp:positionH relativeFrom="margin">
            <wp:align>left</wp:align>
          </wp:positionH>
          <wp:positionV relativeFrom="line">
            <wp:align>center</wp:align>
          </wp:positionV>
          <wp:extent cx="1270800" cy="540000"/>
          <wp:effectExtent l="0" t="0" r="571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FFF5" w14:textId="77777777" w:rsidR="00701833" w:rsidRDefault="00701833" w:rsidP="00692334">
      <w:pPr>
        <w:spacing w:after="0"/>
      </w:pPr>
      <w:r>
        <w:separator/>
      </w:r>
    </w:p>
  </w:footnote>
  <w:footnote w:type="continuationSeparator" w:id="0">
    <w:p w14:paraId="0D0C60FD" w14:textId="77777777" w:rsidR="00701833" w:rsidRDefault="00701833" w:rsidP="00A13B42">
      <w:r>
        <w:continuationSeparator/>
      </w:r>
    </w:p>
    <w:p w14:paraId="2EF189E6" w14:textId="77777777" w:rsidR="00701833" w:rsidRDefault="00701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30E3" w14:textId="77777777" w:rsidR="00B2051E" w:rsidRPr="000F66B6" w:rsidRDefault="00607B1F" w:rsidP="003974CF">
    <w:pPr>
      <w:pStyle w:val="Koptekst"/>
      <w:tabs>
        <w:tab w:val="clear" w:pos="4536"/>
        <w:tab w:val="clear" w:pos="9072"/>
      </w:tabs>
      <w:spacing w:before="200" w:line="240" w:lineRule="auto"/>
      <w:rPr>
        <w:rFonts w:ascii="FlandersArtSans-Medium" w:hAnsi="FlandersArtSans-Medium"/>
        <w:lang w:eastAsia="nl-BE"/>
      </w:rPr>
    </w:pPr>
    <w:r>
      <w:rPr>
        <w:rFonts w:ascii="FlandersArtSans-Medium" w:hAnsi="FlandersArtSans-Medium"/>
        <w:noProof/>
        <w:lang w:eastAsia="nl-BE"/>
      </w:rPr>
      <w:drawing>
        <wp:inline distT="0" distB="0" distL="0" distR="0" wp14:anchorId="22CA0396" wp14:editId="3AF8614B">
          <wp:extent cx="1371600" cy="69301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385576" cy="70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2"/>
  </w:num>
  <w:num w:numId="11">
    <w:abstractNumId w:val="13"/>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33"/>
    <w:rsid w:val="00001D1B"/>
    <w:rsid w:val="00011108"/>
    <w:rsid w:val="00011992"/>
    <w:rsid w:val="000128DC"/>
    <w:rsid w:val="00023FE3"/>
    <w:rsid w:val="000317EF"/>
    <w:rsid w:val="0003380D"/>
    <w:rsid w:val="00036FEA"/>
    <w:rsid w:val="0004078D"/>
    <w:rsid w:val="00041026"/>
    <w:rsid w:val="00045873"/>
    <w:rsid w:val="000525B9"/>
    <w:rsid w:val="000537C8"/>
    <w:rsid w:val="0005457B"/>
    <w:rsid w:val="00057040"/>
    <w:rsid w:val="000578F4"/>
    <w:rsid w:val="00065B3E"/>
    <w:rsid w:val="000741AC"/>
    <w:rsid w:val="0007551D"/>
    <w:rsid w:val="00077826"/>
    <w:rsid w:val="00080381"/>
    <w:rsid w:val="00080793"/>
    <w:rsid w:val="00080EE1"/>
    <w:rsid w:val="00083765"/>
    <w:rsid w:val="00085B28"/>
    <w:rsid w:val="00092697"/>
    <w:rsid w:val="000A2D11"/>
    <w:rsid w:val="000B2BD4"/>
    <w:rsid w:val="000B3488"/>
    <w:rsid w:val="000B63B7"/>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66B6"/>
    <w:rsid w:val="000F7F96"/>
    <w:rsid w:val="001016D4"/>
    <w:rsid w:val="0010260E"/>
    <w:rsid w:val="001119DD"/>
    <w:rsid w:val="00113B8F"/>
    <w:rsid w:val="00113E10"/>
    <w:rsid w:val="00120C57"/>
    <w:rsid w:val="0012788B"/>
    <w:rsid w:val="00130242"/>
    <w:rsid w:val="001305C9"/>
    <w:rsid w:val="00130899"/>
    <w:rsid w:val="001357EE"/>
    <w:rsid w:val="00135C1A"/>
    <w:rsid w:val="00135C9C"/>
    <w:rsid w:val="00136A1A"/>
    <w:rsid w:val="00146833"/>
    <w:rsid w:val="0014766B"/>
    <w:rsid w:val="00163A0A"/>
    <w:rsid w:val="00166BD1"/>
    <w:rsid w:val="00180BA8"/>
    <w:rsid w:val="0018349B"/>
    <w:rsid w:val="00184D8F"/>
    <w:rsid w:val="00187D99"/>
    <w:rsid w:val="001953CB"/>
    <w:rsid w:val="001A62BE"/>
    <w:rsid w:val="001A638E"/>
    <w:rsid w:val="001B3CFC"/>
    <w:rsid w:val="001C00ED"/>
    <w:rsid w:val="001C21EC"/>
    <w:rsid w:val="001C4E72"/>
    <w:rsid w:val="001C6CBA"/>
    <w:rsid w:val="001D0B6D"/>
    <w:rsid w:val="001D3F45"/>
    <w:rsid w:val="001D4D94"/>
    <w:rsid w:val="001E76D1"/>
    <w:rsid w:val="001F43A8"/>
    <w:rsid w:val="001F7445"/>
    <w:rsid w:val="00205E7A"/>
    <w:rsid w:val="00207634"/>
    <w:rsid w:val="00210107"/>
    <w:rsid w:val="002115E9"/>
    <w:rsid w:val="0021282F"/>
    <w:rsid w:val="00212D18"/>
    <w:rsid w:val="00215F4C"/>
    <w:rsid w:val="00224CDD"/>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A0F86"/>
    <w:rsid w:val="002A0FF7"/>
    <w:rsid w:val="002A3918"/>
    <w:rsid w:val="002A463F"/>
    <w:rsid w:val="002A5C5F"/>
    <w:rsid w:val="002A7A5A"/>
    <w:rsid w:val="002B2667"/>
    <w:rsid w:val="002C0D86"/>
    <w:rsid w:val="002C21EA"/>
    <w:rsid w:val="002D463B"/>
    <w:rsid w:val="002D6719"/>
    <w:rsid w:val="002D77C2"/>
    <w:rsid w:val="002E1FCA"/>
    <w:rsid w:val="002E3241"/>
    <w:rsid w:val="002F06A9"/>
    <w:rsid w:val="002F33FA"/>
    <w:rsid w:val="002F406C"/>
    <w:rsid w:val="00301EB0"/>
    <w:rsid w:val="003027E8"/>
    <w:rsid w:val="00306F22"/>
    <w:rsid w:val="00310FC0"/>
    <w:rsid w:val="00316680"/>
    <w:rsid w:val="0032218F"/>
    <w:rsid w:val="0032276B"/>
    <w:rsid w:val="00322BC6"/>
    <w:rsid w:val="003248F4"/>
    <w:rsid w:val="003305A6"/>
    <w:rsid w:val="00330F78"/>
    <w:rsid w:val="003407ED"/>
    <w:rsid w:val="00341E75"/>
    <w:rsid w:val="0034269D"/>
    <w:rsid w:val="00342BA6"/>
    <w:rsid w:val="00347D06"/>
    <w:rsid w:val="00350F9C"/>
    <w:rsid w:val="00354E78"/>
    <w:rsid w:val="00357B80"/>
    <w:rsid w:val="00360029"/>
    <w:rsid w:val="00360906"/>
    <w:rsid w:val="00363BA9"/>
    <w:rsid w:val="00365D6F"/>
    <w:rsid w:val="00365EC6"/>
    <w:rsid w:val="003671D2"/>
    <w:rsid w:val="00367690"/>
    <w:rsid w:val="003773FF"/>
    <w:rsid w:val="00377867"/>
    <w:rsid w:val="0038008F"/>
    <w:rsid w:val="00381DAC"/>
    <w:rsid w:val="00382A22"/>
    <w:rsid w:val="003831AD"/>
    <w:rsid w:val="00385434"/>
    <w:rsid w:val="00393C3A"/>
    <w:rsid w:val="003974CF"/>
    <w:rsid w:val="003A05E6"/>
    <w:rsid w:val="003A32EB"/>
    <w:rsid w:val="003A5274"/>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1091"/>
    <w:rsid w:val="0041235C"/>
    <w:rsid w:val="00414D8E"/>
    <w:rsid w:val="0042565F"/>
    <w:rsid w:val="00431D42"/>
    <w:rsid w:val="00440131"/>
    <w:rsid w:val="0044212B"/>
    <w:rsid w:val="00445EE8"/>
    <w:rsid w:val="004516A1"/>
    <w:rsid w:val="004533BA"/>
    <w:rsid w:val="00453837"/>
    <w:rsid w:val="004550EE"/>
    <w:rsid w:val="004623F4"/>
    <w:rsid w:val="00462943"/>
    <w:rsid w:val="004646C3"/>
    <w:rsid w:val="00464EFB"/>
    <w:rsid w:val="004676F8"/>
    <w:rsid w:val="0048529A"/>
    <w:rsid w:val="0048655F"/>
    <w:rsid w:val="00486A04"/>
    <w:rsid w:val="00487CBD"/>
    <w:rsid w:val="00492FDA"/>
    <w:rsid w:val="00493513"/>
    <w:rsid w:val="00493AB3"/>
    <w:rsid w:val="00496E4B"/>
    <w:rsid w:val="004A1C98"/>
    <w:rsid w:val="004A2E47"/>
    <w:rsid w:val="004B0214"/>
    <w:rsid w:val="004B09F7"/>
    <w:rsid w:val="004B4F14"/>
    <w:rsid w:val="004B5097"/>
    <w:rsid w:val="004C5F2A"/>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7513"/>
    <w:rsid w:val="0059116D"/>
    <w:rsid w:val="00592946"/>
    <w:rsid w:val="0059345C"/>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07B1F"/>
    <w:rsid w:val="00607D3E"/>
    <w:rsid w:val="00614CAE"/>
    <w:rsid w:val="006158CB"/>
    <w:rsid w:val="00616ED4"/>
    <w:rsid w:val="0062114F"/>
    <w:rsid w:val="006346EE"/>
    <w:rsid w:val="006506BC"/>
    <w:rsid w:val="00653EF0"/>
    <w:rsid w:val="0065638B"/>
    <w:rsid w:val="00657F45"/>
    <w:rsid w:val="00660A9B"/>
    <w:rsid w:val="006665CB"/>
    <w:rsid w:val="00681E92"/>
    <w:rsid w:val="00682CCC"/>
    <w:rsid w:val="00686964"/>
    <w:rsid w:val="006910B4"/>
    <w:rsid w:val="00692334"/>
    <w:rsid w:val="006944FD"/>
    <w:rsid w:val="006956D4"/>
    <w:rsid w:val="006A00DF"/>
    <w:rsid w:val="006A149D"/>
    <w:rsid w:val="006A53A1"/>
    <w:rsid w:val="006A6A81"/>
    <w:rsid w:val="006A75C6"/>
    <w:rsid w:val="006B46C2"/>
    <w:rsid w:val="006B6DD4"/>
    <w:rsid w:val="006B7648"/>
    <w:rsid w:val="006B7714"/>
    <w:rsid w:val="006B7F15"/>
    <w:rsid w:val="006C1375"/>
    <w:rsid w:val="006C7E03"/>
    <w:rsid w:val="006D1DF5"/>
    <w:rsid w:val="006D7951"/>
    <w:rsid w:val="006E4ADA"/>
    <w:rsid w:val="006E72F9"/>
    <w:rsid w:val="006E7A49"/>
    <w:rsid w:val="006F2A96"/>
    <w:rsid w:val="006F2BF5"/>
    <w:rsid w:val="00701833"/>
    <w:rsid w:val="00702B66"/>
    <w:rsid w:val="0071498D"/>
    <w:rsid w:val="007176D4"/>
    <w:rsid w:val="0071781E"/>
    <w:rsid w:val="00730131"/>
    <w:rsid w:val="0073220B"/>
    <w:rsid w:val="007331C4"/>
    <w:rsid w:val="00736D1D"/>
    <w:rsid w:val="00737346"/>
    <w:rsid w:val="0074437B"/>
    <w:rsid w:val="00747B03"/>
    <w:rsid w:val="007506D4"/>
    <w:rsid w:val="00752E47"/>
    <w:rsid w:val="0075459D"/>
    <w:rsid w:val="00756D28"/>
    <w:rsid w:val="00760F68"/>
    <w:rsid w:val="007642F9"/>
    <w:rsid w:val="00766173"/>
    <w:rsid w:val="007670F2"/>
    <w:rsid w:val="00771EAA"/>
    <w:rsid w:val="00773FF3"/>
    <w:rsid w:val="007743DB"/>
    <w:rsid w:val="007746EF"/>
    <w:rsid w:val="007757D4"/>
    <w:rsid w:val="007762DE"/>
    <w:rsid w:val="007765E9"/>
    <w:rsid w:val="00781536"/>
    <w:rsid w:val="0078562B"/>
    <w:rsid w:val="00787D84"/>
    <w:rsid w:val="00790A0F"/>
    <w:rsid w:val="00795849"/>
    <w:rsid w:val="00795BB9"/>
    <w:rsid w:val="007979C4"/>
    <w:rsid w:val="007A07F1"/>
    <w:rsid w:val="007A1A12"/>
    <w:rsid w:val="007A377F"/>
    <w:rsid w:val="007B1A55"/>
    <w:rsid w:val="007B4CCF"/>
    <w:rsid w:val="007C4A4C"/>
    <w:rsid w:val="007C5493"/>
    <w:rsid w:val="007C72B9"/>
    <w:rsid w:val="007D2303"/>
    <w:rsid w:val="007D5C70"/>
    <w:rsid w:val="007D6E2B"/>
    <w:rsid w:val="00806ED5"/>
    <w:rsid w:val="00810924"/>
    <w:rsid w:val="00812762"/>
    <w:rsid w:val="008159B7"/>
    <w:rsid w:val="008164DF"/>
    <w:rsid w:val="008235B2"/>
    <w:rsid w:val="008249DA"/>
    <w:rsid w:val="00832A2E"/>
    <w:rsid w:val="00834EC4"/>
    <w:rsid w:val="00835BF0"/>
    <w:rsid w:val="00836333"/>
    <w:rsid w:val="00846600"/>
    <w:rsid w:val="00846992"/>
    <w:rsid w:val="0084759D"/>
    <w:rsid w:val="008477B8"/>
    <w:rsid w:val="0085199F"/>
    <w:rsid w:val="0085716F"/>
    <w:rsid w:val="00861C3B"/>
    <w:rsid w:val="00861E32"/>
    <w:rsid w:val="00865794"/>
    <w:rsid w:val="00867561"/>
    <w:rsid w:val="008758A8"/>
    <w:rsid w:val="008771A4"/>
    <w:rsid w:val="00880D2F"/>
    <w:rsid w:val="00884D82"/>
    <w:rsid w:val="00890992"/>
    <w:rsid w:val="00890CE3"/>
    <w:rsid w:val="00891667"/>
    <w:rsid w:val="00892D4C"/>
    <w:rsid w:val="00893ADF"/>
    <w:rsid w:val="008941B7"/>
    <w:rsid w:val="008943CD"/>
    <w:rsid w:val="00896671"/>
    <w:rsid w:val="00896E64"/>
    <w:rsid w:val="00897098"/>
    <w:rsid w:val="008A0E06"/>
    <w:rsid w:val="008A7F98"/>
    <w:rsid w:val="008B4FB5"/>
    <w:rsid w:val="008B5462"/>
    <w:rsid w:val="008B6066"/>
    <w:rsid w:val="008B738E"/>
    <w:rsid w:val="008C041B"/>
    <w:rsid w:val="008C1934"/>
    <w:rsid w:val="008C30AA"/>
    <w:rsid w:val="008C4E02"/>
    <w:rsid w:val="008C4E7C"/>
    <w:rsid w:val="008C5C3B"/>
    <w:rsid w:val="008C7ACC"/>
    <w:rsid w:val="008D01E7"/>
    <w:rsid w:val="008D0BD5"/>
    <w:rsid w:val="008D1BFC"/>
    <w:rsid w:val="008D2105"/>
    <w:rsid w:val="008D4CB8"/>
    <w:rsid w:val="008D73F5"/>
    <w:rsid w:val="008D7D87"/>
    <w:rsid w:val="008E1299"/>
    <w:rsid w:val="008E1C27"/>
    <w:rsid w:val="008E227A"/>
    <w:rsid w:val="008E7FE8"/>
    <w:rsid w:val="008F3B2C"/>
    <w:rsid w:val="008F5D59"/>
    <w:rsid w:val="008F7216"/>
    <w:rsid w:val="0090183B"/>
    <w:rsid w:val="0090414C"/>
    <w:rsid w:val="009067C6"/>
    <w:rsid w:val="00911130"/>
    <w:rsid w:val="00922A1D"/>
    <w:rsid w:val="00924701"/>
    <w:rsid w:val="00924A23"/>
    <w:rsid w:val="00925A02"/>
    <w:rsid w:val="00930154"/>
    <w:rsid w:val="00932C86"/>
    <w:rsid w:val="00935C9E"/>
    <w:rsid w:val="00943FFF"/>
    <w:rsid w:val="00945510"/>
    <w:rsid w:val="00951DBD"/>
    <w:rsid w:val="009537F1"/>
    <w:rsid w:val="00960C0D"/>
    <w:rsid w:val="0096651F"/>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6456"/>
    <w:rsid w:val="009F6AED"/>
    <w:rsid w:val="009F746F"/>
    <w:rsid w:val="00A00CB2"/>
    <w:rsid w:val="00A042FB"/>
    <w:rsid w:val="00A05D55"/>
    <w:rsid w:val="00A065BB"/>
    <w:rsid w:val="00A06A31"/>
    <w:rsid w:val="00A13B42"/>
    <w:rsid w:val="00A170A3"/>
    <w:rsid w:val="00A17B16"/>
    <w:rsid w:val="00A2382A"/>
    <w:rsid w:val="00A25124"/>
    <w:rsid w:val="00A25E31"/>
    <w:rsid w:val="00A33598"/>
    <w:rsid w:val="00A51D9C"/>
    <w:rsid w:val="00A5503B"/>
    <w:rsid w:val="00A55824"/>
    <w:rsid w:val="00A63A5F"/>
    <w:rsid w:val="00A679ED"/>
    <w:rsid w:val="00A71162"/>
    <w:rsid w:val="00A77A71"/>
    <w:rsid w:val="00A85AAE"/>
    <w:rsid w:val="00A85ABF"/>
    <w:rsid w:val="00A8633D"/>
    <w:rsid w:val="00A86BC9"/>
    <w:rsid w:val="00A8776F"/>
    <w:rsid w:val="00A92E4D"/>
    <w:rsid w:val="00A9392D"/>
    <w:rsid w:val="00A94CD8"/>
    <w:rsid w:val="00A96A8D"/>
    <w:rsid w:val="00AA42CD"/>
    <w:rsid w:val="00AA6E56"/>
    <w:rsid w:val="00AB0B5E"/>
    <w:rsid w:val="00AB161D"/>
    <w:rsid w:val="00AB2FCD"/>
    <w:rsid w:val="00AC52EF"/>
    <w:rsid w:val="00AD1F0B"/>
    <w:rsid w:val="00AD4342"/>
    <w:rsid w:val="00AD45F3"/>
    <w:rsid w:val="00AE5B74"/>
    <w:rsid w:val="00AE5CB4"/>
    <w:rsid w:val="00AE6B4C"/>
    <w:rsid w:val="00AF5BB3"/>
    <w:rsid w:val="00AF7F32"/>
    <w:rsid w:val="00B01773"/>
    <w:rsid w:val="00B052D1"/>
    <w:rsid w:val="00B0689B"/>
    <w:rsid w:val="00B078D4"/>
    <w:rsid w:val="00B07948"/>
    <w:rsid w:val="00B12000"/>
    <w:rsid w:val="00B13AE6"/>
    <w:rsid w:val="00B14FDE"/>
    <w:rsid w:val="00B165F9"/>
    <w:rsid w:val="00B1684F"/>
    <w:rsid w:val="00B200B5"/>
    <w:rsid w:val="00B2051E"/>
    <w:rsid w:val="00B2268E"/>
    <w:rsid w:val="00B256BC"/>
    <w:rsid w:val="00B32B12"/>
    <w:rsid w:val="00B42A0B"/>
    <w:rsid w:val="00B4748C"/>
    <w:rsid w:val="00B5101B"/>
    <w:rsid w:val="00B51244"/>
    <w:rsid w:val="00B53B5E"/>
    <w:rsid w:val="00B55E85"/>
    <w:rsid w:val="00B61130"/>
    <w:rsid w:val="00B61317"/>
    <w:rsid w:val="00B657EC"/>
    <w:rsid w:val="00B66324"/>
    <w:rsid w:val="00B67D75"/>
    <w:rsid w:val="00B713F8"/>
    <w:rsid w:val="00B71B54"/>
    <w:rsid w:val="00B73167"/>
    <w:rsid w:val="00B75BD2"/>
    <w:rsid w:val="00B778E1"/>
    <w:rsid w:val="00B8492A"/>
    <w:rsid w:val="00B904F9"/>
    <w:rsid w:val="00B9091A"/>
    <w:rsid w:val="00B92465"/>
    <w:rsid w:val="00BA003E"/>
    <w:rsid w:val="00BA4876"/>
    <w:rsid w:val="00BB5E01"/>
    <w:rsid w:val="00BB5E6A"/>
    <w:rsid w:val="00BC1FD4"/>
    <w:rsid w:val="00BC4FE4"/>
    <w:rsid w:val="00BC6B64"/>
    <w:rsid w:val="00BD1F32"/>
    <w:rsid w:val="00BD31F5"/>
    <w:rsid w:val="00BE03F8"/>
    <w:rsid w:val="00BE18B2"/>
    <w:rsid w:val="00BE3BC6"/>
    <w:rsid w:val="00BF3918"/>
    <w:rsid w:val="00BF4694"/>
    <w:rsid w:val="00BF4C20"/>
    <w:rsid w:val="00BF5378"/>
    <w:rsid w:val="00BF74A3"/>
    <w:rsid w:val="00C02CB6"/>
    <w:rsid w:val="00C05ADB"/>
    <w:rsid w:val="00C124DC"/>
    <w:rsid w:val="00C12943"/>
    <w:rsid w:val="00C15032"/>
    <w:rsid w:val="00C17B2E"/>
    <w:rsid w:val="00C2236D"/>
    <w:rsid w:val="00C270F8"/>
    <w:rsid w:val="00C35CDA"/>
    <w:rsid w:val="00C35D86"/>
    <w:rsid w:val="00C35FE0"/>
    <w:rsid w:val="00C365AD"/>
    <w:rsid w:val="00C438A8"/>
    <w:rsid w:val="00C47575"/>
    <w:rsid w:val="00C502E8"/>
    <w:rsid w:val="00C5549D"/>
    <w:rsid w:val="00C5565C"/>
    <w:rsid w:val="00C62539"/>
    <w:rsid w:val="00C63BFA"/>
    <w:rsid w:val="00C65393"/>
    <w:rsid w:val="00C737B5"/>
    <w:rsid w:val="00C74AE3"/>
    <w:rsid w:val="00C74D95"/>
    <w:rsid w:val="00C8307C"/>
    <w:rsid w:val="00C87873"/>
    <w:rsid w:val="00C94E71"/>
    <w:rsid w:val="00C967AF"/>
    <w:rsid w:val="00C9768F"/>
    <w:rsid w:val="00CB05D7"/>
    <w:rsid w:val="00CB2413"/>
    <w:rsid w:val="00CB2C15"/>
    <w:rsid w:val="00CB2E5B"/>
    <w:rsid w:val="00CC0FB9"/>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23330"/>
    <w:rsid w:val="00D3035C"/>
    <w:rsid w:val="00D30BA4"/>
    <w:rsid w:val="00D33DA6"/>
    <w:rsid w:val="00D341A2"/>
    <w:rsid w:val="00D36B63"/>
    <w:rsid w:val="00D4098B"/>
    <w:rsid w:val="00D45D5E"/>
    <w:rsid w:val="00D50D2C"/>
    <w:rsid w:val="00D52BC9"/>
    <w:rsid w:val="00D55CAE"/>
    <w:rsid w:val="00D626D5"/>
    <w:rsid w:val="00D63FB5"/>
    <w:rsid w:val="00D65BC4"/>
    <w:rsid w:val="00D71A06"/>
    <w:rsid w:val="00D7548C"/>
    <w:rsid w:val="00D7614A"/>
    <w:rsid w:val="00D76D1E"/>
    <w:rsid w:val="00D7787E"/>
    <w:rsid w:val="00D8050F"/>
    <w:rsid w:val="00D80AFE"/>
    <w:rsid w:val="00D83723"/>
    <w:rsid w:val="00D83A34"/>
    <w:rsid w:val="00D86263"/>
    <w:rsid w:val="00D863C2"/>
    <w:rsid w:val="00D90E24"/>
    <w:rsid w:val="00D91D45"/>
    <w:rsid w:val="00D92FAF"/>
    <w:rsid w:val="00D93AD8"/>
    <w:rsid w:val="00D95FCA"/>
    <w:rsid w:val="00DC4A57"/>
    <w:rsid w:val="00DC4F03"/>
    <w:rsid w:val="00DD3E3D"/>
    <w:rsid w:val="00DD4523"/>
    <w:rsid w:val="00DE0359"/>
    <w:rsid w:val="00DE4D82"/>
    <w:rsid w:val="00DE4D95"/>
    <w:rsid w:val="00DF3441"/>
    <w:rsid w:val="00E00E5A"/>
    <w:rsid w:val="00E0496E"/>
    <w:rsid w:val="00E10219"/>
    <w:rsid w:val="00E16403"/>
    <w:rsid w:val="00E17BFE"/>
    <w:rsid w:val="00E21A3E"/>
    <w:rsid w:val="00E2514D"/>
    <w:rsid w:val="00E25CE2"/>
    <w:rsid w:val="00E26CE5"/>
    <w:rsid w:val="00E31423"/>
    <w:rsid w:val="00E3284A"/>
    <w:rsid w:val="00E33C80"/>
    <w:rsid w:val="00E41250"/>
    <w:rsid w:val="00E41972"/>
    <w:rsid w:val="00E42283"/>
    <w:rsid w:val="00E45DD4"/>
    <w:rsid w:val="00E51891"/>
    <w:rsid w:val="00E51C0C"/>
    <w:rsid w:val="00E52FBB"/>
    <w:rsid w:val="00E56E36"/>
    <w:rsid w:val="00E653DA"/>
    <w:rsid w:val="00E713FF"/>
    <w:rsid w:val="00E7273E"/>
    <w:rsid w:val="00E7423F"/>
    <w:rsid w:val="00E775CC"/>
    <w:rsid w:val="00E777E1"/>
    <w:rsid w:val="00E80A3D"/>
    <w:rsid w:val="00E80EBC"/>
    <w:rsid w:val="00E82FFD"/>
    <w:rsid w:val="00E878F9"/>
    <w:rsid w:val="00E87B88"/>
    <w:rsid w:val="00E94506"/>
    <w:rsid w:val="00E971CC"/>
    <w:rsid w:val="00EA0983"/>
    <w:rsid w:val="00EA196B"/>
    <w:rsid w:val="00EA3C39"/>
    <w:rsid w:val="00EA6FEB"/>
    <w:rsid w:val="00EB4919"/>
    <w:rsid w:val="00EB6EC5"/>
    <w:rsid w:val="00EC2312"/>
    <w:rsid w:val="00ED1D11"/>
    <w:rsid w:val="00ED30E2"/>
    <w:rsid w:val="00ED30F8"/>
    <w:rsid w:val="00ED453A"/>
    <w:rsid w:val="00ED6B26"/>
    <w:rsid w:val="00ED77F5"/>
    <w:rsid w:val="00EE0953"/>
    <w:rsid w:val="00EE2C4D"/>
    <w:rsid w:val="00EE4B10"/>
    <w:rsid w:val="00EE5C0B"/>
    <w:rsid w:val="00EF373E"/>
    <w:rsid w:val="00F02B6C"/>
    <w:rsid w:val="00F10F66"/>
    <w:rsid w:val="00F127CF"/>
    <w:rsid w:val="00F15B57"/>
    <w:rsid w:val="00F2221D"/>
    <w:rsid w:val="00F23413"/>
    <w:rsid w:val="00F24CB4"/>
    <w:rsid w:val="00F33EF3"/>
    <w:rsid w:val="00F40013"/>
    <w:rsid w:val="00F41722"/>
    <w:rsid w:val="00F41EB8"/>
    <w:rsid w:val="00F4422E"/>
    <w:rsid w:val="00F45157"/>
    <w:rsid w:val="00F45F39"/>
    <w:rsid w:val="00F50140"/>
    <w:rsid w:val="00F50C45"/>
    <w:rsid w:val="00F541C3"/>
    <w:rsid w:val="00F55064"/>
    <w:rsid w:val="00F57564"/>
    <w:rsid w:val="00F63D52"/>
    <w:rsid w:val="00F65141"/>
    <w:rsid w:val="00F77D16"/>
    <w:rsid w:val="00F80145"/>
    <w:rsid w:val="00F84640"/>
    <w:rsid w:val="00F92F49"/>
    <w:rsid w:val="00F95C02"/>
    <w:rsid w:val="00F96085"/>
    <w:rsid w:val="00FA32A1"/>
    <w:rsid w:val="00FA3DB5"/>
    <w:rsid w:val="00FB1E6C"/>
    <w:rsid w:val="00FB31B3"/>
    <w:rsid w:val="00FB7D13"/>
    <w:rsid w:val="00FB7DD8"/>
    <w:rsid w:val="00FB7ED9"/>
    <w:rsid w:val="00FC091F"/>
    <w:rsid w:val="00FC4EC8"/>
    <w:rsid w:val="00FC7411"/>
    <w:rsid w:val="00FD08CF"/>
    <w:rsid w:val="00FD0D91"/>
    <w:rsid w:val="00FD79A5"/>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4266A5"/>
  <w15:docId w15:val="{9CE24ACF-0D74-4C60-A829-9304B847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ind w:left="431" w:hanging="43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character" w:styleId="Hyperlink">
    <w:name w:val="Hyperlink"/>
    <w:basedOn w:val="Standaardalinea-lettertype"/>
    <w:uiPriority w:val="99"/>
    <w:unhideWhenUsed/>
    <w:rsid w:val="00092697"/>
    <w:rPr>
      <w:color w:val="0000FF" w:themeColor="hyperlink"/>
      <w:u w:val="single"/>
    </w:rPr>
  </w:style>
  <w:style w:type="character" w:styleId="Onopgelostemelding">
    <w:name w:val="Unresolved Mention"/>
    <w:basedOn w:val="Standaardalinea-lettertype"/>
    <w:uiPriority w:val="99"/>
    <w:semiHidden/>
    <w:unhideWhenUsed/>
    <w:rsid w:val="0009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ph.be/professionelen/mfc/overgangsmaatregelen-transit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vaph.be/professionelen/mfc/subsidiering/bijdragen" TargetMode="External"/><Relationship Id="rId4" Type="http://schemas.openxmlformats.org/officeDocument/2006/relationships/settings" Target="settings.xml"/><Relationship Id="rId9" Type="http://schemas.openxmlformats.org/officeDocument/2006/relationships/hyperlink" Target="https://www.vaph.be/documenten/p3-formulier-gezinsbijslag-voor-kinderen-jongeren-die-een-instelling-geplaatst-zij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infonota_juni%202024_ur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42AB7D7762447EB260F5A80EBDC2CE"/>
        <w:category>
          <w:name w:val="Algemeen"/>
          <w:gallery w:val="placeholder"/>
        </w:category>
        <w:types>
          <w:type w:val="bbPlcHdr"/>
        </w:types>
        <w:behaviors>
          <w:behavior w:val="content"/>
        </w:behaviors>
        <w:guid w:val="{DEC98B2B-16E7-427B-9345-C565AF6EEA81}"/>
      </w:docPartPr>
      <w:docPartBody>
        <w:p w:rsidR="008E494B" w:rsidRDefault="008E494B">
          <w:pPr>
            <w:pStyle w:val="B742AB7D7762447EB260F5A80EBDC2CE"/>
          </w:pPr>
          <w:r>
            <w:rPr>
              <w:rStyle w:val="Tekstvantijdelijkeaanduiding"/>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4B"/>
    <w:rsid w:val="008E49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742AB7D7762447EB260F5A80EBDC2CE">
    <w:name w:val="B742AB7D7762447EB260F5A80EBDC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D6E0-E0C9-4B6E-8AA6-A92C41AC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infonota_juni 2024_url</Template>
  <TotalTime>0</TotalTime>
  <Pages>3</Pages>
  <Words>1009</Words>
  <Characters>5555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3</cp:revision>
  <cp:lastPrinted>2017-01-30T10:54:00Z</cp:lastPrinted>
  <dcterms:created xsi:type="dcterms:W3CDTF">2025-01-20T09:41:00Z</dcterms:created>
  <dcterms:modified xsi:type="dcterms:W3CDTF">2025-01-20T09:45:00Z</dcterms:modified>
</cp:coreProperties>
</file>