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602E" w14:textId="77777777" w:rsidR="00C04D0E" w:rsidRDefault="00C04D0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70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725"/>
        <w:gridCol w:w="1680"/>
        <w:gridCol w:w="5295"/>
      </w:tblGrid>
      <w:tr w:rsidR="00C04D0E" w14:paraId="135AD2EE" w14:textId="77777777" w:rsidTr="00C04D0E">
        <w:trPr>
          <w:trHeight w:val="270"/>
        </w:trPr>
        <w:tc>
          <w:tcPr>
            <w:tcW w:w="3405" w:type="dxa"/>
            <w:gridSpan w:val="2"/>
            <w:vMerge w:val="restart"/>
          </w:tcPr>
          <w:p w14:paraId="4E9BC6B6" w14:textId="77777777" w:rsidR="00C04D0E" w:rsidRDefault="003205F5">
            <w:pPr>
              <w:pBdr>
                <w:top w:val="nil"/>
                <w:left w:val="nil"/>
                <w:bottom w:val="nil"/>
                <w:right w:val="nil"/>
                <w:between w:val="nil"/>
              </w:pBdr>
              <w:spacing w:after="0" w:line="240" w:lineRule="auto"/>
              <w:rPr>
                <w:b/>
                <w:color w:val="808080"/>
              </w:rPr>
            </w:pPr>
            <w:r>
              <w:rPr>
                <w:b/>
                <w:color w:val="808080"/>
              </w:rPr>
              <w:t>www.vaph.be</w:t>
            </w:r>
          </w:p>
          <w:p w14:paraId="492313A7" w14:textId="77777777" w:rsidR="00C04D0E" w:rsidRDefault="00C04D0E">
            <w:pPr>
              <w:pBdr>
                <w:top w:val="nil"/>
                <w:left w:val="nil"/>
                <w:bottom w:val="nil"/>
                <w:right w:val="nil"/>
                <w:between w:val="nil"/>
              </w:pBdr>
              <w:spacing w:after="0" w:line="240" w:lineRule="auto"/>
              <w:rPr>
                <w:b/>
                <w:color w:val="808080"/>
              </w:rPr>
            </w:pPr>
          </w:p>
        </w:tc>
        <w:tc>
          <w:tcPr>
            <w:tcW w:w="5295" w:type="dxa"/>
            <w:tcBorders>
              <w:left w:val="nil"/>
            </w:tcBorders>
          </w:tcPr>
          <w:p w14:paraId="61B5B7D8" w14:textId="77777777" w:rsidR="00C04D0E" w:rsidRDefault="003205F5">
            <w:pPr>
              <w:pBdr>
                <w:top w:val="nil"/>
                <w:left w:val="nil"/>
                <w:bottom w:val="nil"/>
                <w:right w:val="nil"/>
                <w:between w:val="nil"/>
              </w:pBdr>
              <w:spacing w:line="240" w:lineRule="auto"/>
              <w:jc w:val="right"/>
              <w:rPr>
                <w:b/>
                <w:smallCaps/>
                <w:color w:val="373737"/>
                <w:sz w:val="36"/>
                <w:szCs w:val="36"/>
              </w:rPr>
            </w:pPr>
            <w:r>
              <w:rPr>
                <w:b/>
                <w:smallCaps/>
                <w:color w:val="373737"/>
                <w:sz w:val="36"/>
                <w:szCs w:val="36"/>
              </w:rPr>
              <w:t>INFONOTA</w:t>
            </w:r>
          </w:p>
        </w:tc>
      </w:tr>
      <w:tr w:rsidR="00C04D0E" w14:paraId="00F1A9B7" w14:textId="77777777" w:rsidTr="00C04D0E">
        <w:trPr>
          <w:trHeight w:val="270"/>
        </w:trPr>
        <w:tc>
          <w:tcPr>
            <w:tcW w:w="3405" w:type="dxa"/>
            <w:gridSpan w:val="2"/>
            <w:vMerge/>
          </w:tcPr>
          <w:p w14:paraId="1E5AB8CC" w14:textId="77777777" w:rsidR="00C04D0E" w:rsidRDefault="00C04D0E">
            <w:pPr>
              <w:widowControl w:val="0"/>
              <w:pBdr>
                <w:top w:val="nil"/>
                <w:left w:val="nil"/>
                <w:bottom w:val="nil"/>
                <w:right w:val="nil"/>
                <w:between w:val="nil"/>
              </w:pBdr>
              <w:spacing w:after="0" w:line="276" w:lineRule="auto"/>
              <w:rPr>
                <w:b/>
                <w:smallCaps/>
                <w:color w:val="373737"/>
                <w:sz w:val="36"/>
                <w:szCs w:val="36"/>
              </w:rPr>
            </w:pPr>
          </w:p>
        </w:tc>
        <w:tc>
          <w:tcPr>
            <w:tcW w:w="5295" w:type="dxa"/>
          </w:tcPr>
          <w:p w14:paraId="197036C4" w14:textId="77777777" w:rsidR="00C04D0E" w:rsidRDefault="003205F5">
            <w:pPr>
              <w:pBdr>
                <w:top w:val="nil"/>
                <w:left w:val="nil"/>
                <w:bottom w:val="nil"/>
                <w:right w:val="nil"/>
                <w:between w:val="nil"/>
              </w:pBdr>
              <w:spacing w:line="240" w:lineRule="auto"/>
              <w:jc w:val="right"/>
              <w:rPr>
                <w:b/>
                <w:color w:val="373737"/>
                <w:sz w:val="26"/>
                <w:szCs w:val="26"/>
              </w:rPr>
            </w:pPr>
            <w:r>
              <w:rPr>
                <w:b/>
                <w:color w:val="373737"/>
                <w:sz w:val="26"/>
                <w:szCs w:val="26"/>
              </w:rPr>
              <w:t>Gericht aan: Erkende multifunctionele centra</w:t>
            </w:r>
          </w:p>
        </w:tc>
      </w:tr>
      <w:tr w:rsidR="00C04D0E" w14:paraId="419E879B" w14:textId="77777777" w:rsidTr="00C04D0E">
        <w:trPr>
          <w:trHeight w:val="270"/>
        </w:trPr>
        <w:tc>
          <w:tcPr>
            <w:tcW w:w="3405" w:type="dxa"/>
            <w:gridSpan w:val="2"/>
            <w:vMerge/>
          </w:tcPr>
          <w:p w14:paraId="520880E9" w14:textId="77777777" w:rsidR="00C04D0E" w:rsidRDefault="00C04D0E">
            <w:pPr>
              <w:widowControl w:val="0"/>
              <w:pBdr>
                <w:top w:val="nil"/>
                <w:left w:val="nil"/>
                <w:bottom w:val="nil"/>
                <w:right w:val="nil"/>
                <w:between w:val="nil"/>
              </w:pBdr>
              <w:spacing w:after="0" w:line="276" w:lineRule="auto"/>
              <w:rPr>
                <w:b/>
                <w:color w:val="373737"/>
                <w:sz w:val="26"/>
                <w:szCs w:val="26"/>
              </w:rPr>
            </w:pPr>
          </w:p>
        </w:tc>
        <w:tc>
          <w:tcPr>
            <w:tcW w:w="5295" w:type="dxa"/>
          </w:tcPr>
          <w:p w14:paraId="2B4643A9" w14:textId="77777777" w:rsidR="00C04D0E" w:rsidRDefault="003205F5">
            <w:pPr>
              <w:pBdr>
                <w:top w:val="nil"/>
                <w:left w:val="nil"/>
                <w:bottom w:val="nil"/>
                <w:right w:val="nil"/>
                <w:between w:val="nil"/>
              </w:pBdr>
              <w:spacing w:after="0" w:line="240" w:lineRule="auto"/>
              <w:jc w:val="right"/>
              <w:rPr>
                <w:color w:val="808080"/>
              </w:rPr>
            </w:pPr>
            <w:r>
              <w:rPr>
                <w:color w:val="808080"/>
              </w:rPr>
              <w:t>29 oktober 2024</w:t>
            </w:r>
          </w:p>
        </w:tc>
      </w:tr>
      <w:tr w:rsidR="00C04D0E" w14:paraId="5772CA0C" w14:textId="77777777" w:rsidTr="00C04D0E">
        <w:trPr>
          <w:trHeight w:val="270"/>
        </w:trPr>
        <w:tc>
          <w:tcPr>
            <w:tcW w:w="3405" w:type="dxa"/>
            <w:gridSpan w:val="2"/>
            <w:vMerge/>
          </w:tcPr>
          <w:p w14:paraId="79C51DA5" w14:textId="77777777" w:rsidR="00C04D0E" w:rsidRDefault="00C04D0E">
            <w:pPr>
              <w:widowControl w:val="0"/>
              <w:pBdr>
                <w:top w:val="nil"/>
                <w:left w:val="nil"/>
                <w:bottom w:val="nil"/>
                <w:right w:val="nil"/>
                <w:between w:val="nil"/>
              </w:pBdr>
              <w:spacing w:after="0" w:line="276" w:lineRule="auto"/>
              <w:rPr>
                <w:color w:val="808080"/>
              </w:rPr>
            </w:pPr>
          </w:p>
        </w:tc>
        <w:tc>
          <w:tcPr>
            <w:tcW w:w="5295" w:type="dxa"/>
          </w:tcPr>
          <w:p w14:paraId="1A0F4911" w14:textId="77777777" w:rsidR="00C04D0E" w:rsidRDefault="003205F5">
            <w:pPr>
              <w:pBdr>
                <w:top w:val="nil"/>
                <w:left w:val="nil"/>
                <w:bottom w:val="nil"/>
                <w:right w:val="nil"/>
                <w:between w:val="nil"/>
              </w:pBdr>
              <w:spacing w:after="0" w:line="240" w:lineRule="auto"/>
              <w:jc w:val="right"/>
              <w:rPr>
                <w:color w:val="808080"/>
              </w:rPr>
            </w:pPr>
            <w:r>
              <w:rPr>
                <w:color w:val="808080"/>
              </w:rPr>
              <w:t>INF/24/28</w:t>
            </w:r>
          </w:p>
        </w:tc>
      </w:tr>
      <w:tr w:rsidR="00C04D0E" w14:paraId="0C291977" w14:textId="77777777" w:rsidTr="00C04D0E">
        <w:trPr>
          <w:trHeight w:val="270"/>
        </w:trPr>
        <w:tc>
          <w:tcPr>
            <w:tcW w:w="3405" w:type="dxa"/>
            <w:gridSpan w:val="2"/>
            <w:vMerge/>
          </w:tcPr>
          <w:p w14:paraId="69BE0307" w14:textId="77777777" w:rsidR="00C04D0E" w:rsidRDefault="00C04D0E">
            <w:pPr>
              <w:widowControl w:val="0"/>
              <w:pBdr>
                <w:top w:val="nil"/>
                <w:left w:val="nil"/>
                <w:bottom w:val="nil"/>
                <w:right w:val="nil"/>
                <w:between w:val="nil"/>
              </w:pBdr>
              <w:spacing w:after="0" w:line="276" w:lineRule="auto"/>
              <w:rPr>
                <w:color w:val="808080"/>
              </w:rPr>
            </w:pPr>
          </w:p>
        </w:tc>
        <w:tc>
          <w:tcPr>
            <w:tcW w:w="5295" w:type="dxa"/>
          </w:tcPr>
          <w:p w14:paraId="39870720" w14:textId="77777777" w:rsidR="00C04D0E" w:rsidRDefault="00C04D0E">
            <w:pPr>
              <w:jc w:val="right"/>
            </w:pPr>
          </w:p>
        </w:tc>
      </w:tr>
      <w:tr w:rsidR="00C04D0E" w14:paraId="5268F7AD" w14:textId="77777777" w:rsidTr="00C04D0E">
        <w:tc>
          <w:tcPr>
            <w:tcW w:w="1725" w:type="dxa"/>
            <w:tcBorders>
              <w:top w:val="nil"/>
              <w:left w:val="nil"/>
              <w:bottom w:val="nil"/>
              <w:right w:val="nil"/>
            </w:tcBorders>
            <w:shd w:val="clear" w:color="auto" w:fill="auto"/>
            <w:tcMar>
              <w:top w:w="19" w:type="dxa"/>
              <w:left w:w="19" w:type="dxa"/>
              <w:bottom w:w="19" w:type="dxa"/>
              <w:right w:w="19" w:type="dxa"/>
            </w:tcMar>
            <w:vAlign w:val="bottom"/>
          </w:tcPr>
          <w:p w14:paraId="1FC29E9C" w14:textId="77777777" w:rsidR="00C04D0E" w:rsidRDefault="003205F5">
            <w:pPr>
              <w:tabs>
                <w:tab w:val="left" w:pos="2430"/>
              </w:tabs>
              <w:spacing w:line="240" w:lineRule="auto"/>
              <w:rPr>
                <w:b/>
              </w:rPr>
            </w:pPr>
            <w:r>
              <w:rPr>
                <w:b/>
              </w:rPr>
              <w:t>Contactpersoon</w:t>
            </w:r>
          </w:p>
        </w:tc>
        <w:tc>
          <w:tcPr>
            <w:tcW w:w="6975" w:type="dxa"/>
            <w:gridSpan w:val="2"/>
            <w:tcBorders>
              <w:top w:val="nil"/>
              <w:left w:val="nil"/>
              <w:bottom w:val="nil"/>
              <w:right w:val="nil"/>
            </w:tcBorders>
            <w:shd w:val="clear" w:color="auto" w:fill="auto"/>
            <w:tcMar>
              <w:top w:w="19" w:type="dxa"/>
              <w:left w:w="19" w:type="dxa"/>
              <w:bottom w:w="19" w:type="dxa"/>
              <w:right w:w="19" w:type="dxa"/>
            </w:tcMar>
            <w:vAlign w:val="bottom"/>
          </w:tcPr>
          <w:p w14:paraId="084B78E1" w14:textId="77777777" w:rsidR="00C04D0E" w:rsidRDefault="003205F5">
            <w:pPr>
              <w:tabs>
                <w:tab w:val="left" w:pos="2430"/>
              </w:tabs>
              <w:spacing w:line="240" w:lineRule="auto"/>
            </w:pPr>
            <w:r>
              <w:t xml:space="preserve">  Team Vergunnen en Erkennen</w:t>
            </w:r>
          </w:p>
        </w:tc>
      </w:tr>
      <w:tr w:rsidR="00C04D0E" w14:paraId="3B2A0473" w14:textId="77777777" w:rsidTr="00C04D0E">
        <w:tc>
          <w:tcPr>
            <w:tcW w:w="1725" w:type="dxa"/>
            <w:tcBorders>
              <w:top w:val="nil"/>
              <w:left w:val="nil"/>
              <w:bottom w:val="nil"/>
              <w:right w:val="nil"/>
            </w:tcBorders>
            <w:shd w:val="clear" w:color="auto" w:fill="auto"/>
            <w:tcMar>
              <w:top w:w="19" w:type="dxa"/>
              <w:left w:w="19" w:type="dxa"/>
              <w:bottom w:w="19" w:type="dxa"/>
              <w:right w:w="19" w:type="dxa"/>
            </w:tcMar>
            <w:vAlign w:val="bottom"/>
          </w:tcPr>
          <w:p w14:paraId="1FF27A92" w14:textId="77777777" w:rsidR="00C04D0E" w:rsidRDefault="003205F5">
            <w:pPr>
              <w:tabs>
                <w:tab w:val="left" w:pos="2430"/>
              </w:tabs>
              <w:spacing w:line="240" w:lineRule="auto"/>
            </w:pPr>
            <w:r>
              <w:rPr>
                <w:b/>
              </w:rPr>
              <w:t>E-mai</w:t>
            </w:r>
            <w:r>
              <w:t>l</w:t>
            </w:r>
          </w:p>
        </w:tc>
        <w:tc>
          <w:tcPr>
            <w:tcW w:w="6975" w:type="dxa"/>
            <w:gridSpan w:val="2"/>
            <w:tcBorders>
              <w:top w:val="nil"/>
              <w:left w:val="nil"/>
              <w:bottom w:val="nil"/>
              <w:right w:val="nil"/>
            </w:tcBorders>
            <w:shd w:val="clear" w:color="auto" w:fill="auto"/>
            <w:tcMar>
              <w:top w:w="19" w:type="dxa"/>
              <w:left w:w="19" w:type="dxa"/>
              <w:bottom w:w="19" w:type="dxa"/>
              <w:right w:w="19" w:type="dxa"/>
            </w:tcMar>
            <w:vAlign w:val="bottom"/>
          </w:tcPr>
          <w:p w14:paraId="3454FAE5" w14:textId="77777777" w:rsidR="00C04D0E" w:rsidRDefault="003205F5">
            <w:pPr>
              <w:tabs>
                <w:tab w:val="left" w:pos="2430"/>
              </w:tabs>
              <w:spacing w:line="240" w:lineRule="auto"/>
            </w:pPr>
            <w:r>
              <w:t xml:space="preserve">  </w:t>
            </w:r>
            <w:hyperlink r:id="rId8">
              <w:r>
                <w:rPr>
                  <w:color w:val="0000FF"/>
                  <w:u w:val="single"/>
                </w:rPr>
                <w:t>erkenningen@vaph.be</w:t>
              </w:r>
            </w:hyperlink>
            <w:r>
              <w:t xml:space="preserve"> </w:t>
            </w:r>
          </w:p>
        </w:tc>
      </w:tr>
      <w:tr w:rsidR="00C04D0E" w14:paraId="7FC870D4" w14:textId="77777777" w:rsidTr="00C04D0E">
        <w:tc>
          <w:tcPr>
            <w:tcW w:w="1725" w:type="dxa"/>
            <w:tcBorders>
              <w:top w:val="nil"/>
              <w:left w:val="nil"/>
              <w:bottom w:val="nil"/>
              <w:right w:val="nil"/>
            </w:tcBorders>
            <w:shd w:val="clear" w:color="auto" w:fill="auto"/>
            <w:tcMar>
              <w:top w:w="19" w:type="dxa"/>
              <w:left w:w="19" w:type="dxa"/>
              <w:bottom w:w="19" w:type="dxa"/>
              <w:right w:w="19" w:type="dxa"/>
            </w:tcMar>
            <w:vAlign w:val="bottom"/>
          </w:tcPr>
          <w:p w14:paraId="55F980C6" w14:textId="77777777" w:rsidR="00C04D0E" w:rsidRDefault="003205F5">
            <w:pPr>
              <w:tabs>
                <w:tab w:val="left" w:pos="2430"/>
              </w:tabs>
              <w:spacing w:line="240" w:lineRule="auto"/>
              <w:rPr>
                <w:b/>
              </w:rPr>
            </w:pPr>
            <w:r>
              <w:rPr>
                <w:b/>
              </w:rPr>
              <w:t>Telefoon</w:t>
            </w:r>
          </w:p>
        </w:tc>
        <w:tc>
          <w:tcPr>
            <w:tcW w:w="6975" w:type="dxa"/>
            <w:gridSpan w:val="2"/>
            <w:tcBorders>
              <w:top w:val="nil"/>
              <w:left w:val="nil"/>
              <w:bottom w:val="nil"/>
              <w:right w:val="nil"/>
            </w:tcBorders>
            <w:shd w:val="clear" w:color="auto" w:fill="auto"/>
            <w:tcMar>
              <w:top w:w="19" w:type="dxa"/>
              <w:left w:w="19" w:type="dxa"/>
              <w:bottom w:w="19" w:type="dxa"/>
              <w:right w:w="19" w:type="dxa"/>
            </w:tcMar>
            <w:vAlign w:val="bottom"/>
          </w:tcPr>
          <w:p w14:paraId="5FCE1354" w14:textId="77777777" w:rsidR="00C04D0E" w:rsidRDefault="003205F5">
            <w:pPr>
              <w:tabs>
                <w:tab w:val="left" w:pos="2430"/>
              </w:tabs>
              <w:spacing w:line="240" w:lineRule="auto"/>
            </w:pPr>
            <w:r>
              <w:t xml:space="preserve">  02 249 39 84</w:t>
            </w:r>
          </w:p>
        </w:tc>
      </w:tr>
      <w:tr w:rsidR="00C04D0E" w14:paraId="7EB74D0E" w14:textId="77777777" w:rsidTr="00C04D0E">
        <w:tc>
          <w:tcPr>
            <w:tcW w:w="1725" w:type="dxa"/>
            <w:tcBorders>
              <w:top w:val="nil"/>
              <w:left w:val="nil"/>
              <w:bottom w:val="nil"/>
              <w:right w:val="nil"/>
            </w:tcBorders>
            <w:shd w:val="clear" w:color="auto" w:fill="auto"/>
            <w:tcMar>
              <w:top w:w="19" w:type="dxa"/>
              <w:left w:w="19" w:type="dxa"/>
              <w:bottom w:w="19" w:type="dxa"/>
              <w:right w:w="19" w:type="dxa"/>
            </w:tcMar>
            <w:vAlign w:val="bottom"/>
          </w:tcPr>
          <w:p w14:paraId="479D63C2" w14:textId="77777777" w:rsidR="00C04D0E" w:rsidRDefault="003205F5">
            <w:pPr>
              <w:tabs>
                <w:tab w:val="left" w:pos="2430"/>
              </w:tabs>
              <w:spacing w:line="240" w:lineRule="auto"/>
              <w:rPr>
                <w:b/>
              </w:rPr>
            </w:pPr>
            <w:r>
              <w:rPr>
                <w:b/>
              </w:rPr>
              <w:t>Bijlagen</w:t>
            </w:r>
          </w:p>
        </w:tc>
        <w:tc>
          <w:tcPr>
            <w:tcW w:w="6975" w:type="dxa"/>
            <w:gridSpan w:val="2"/>
            <w:tcBorders>
              <w:top w:val="nil"/>
              <w:left w:val="nil"/>
              <w:bottom w:val="nil"/>
              <w:right w:val="nil"/>
            </w:tcBorders>
            <w:shd w:val="clear" w:color="auto" w:fill="auto"/>
            <w:tcMar>
              <w:top w:w="19" w:type="dxa"/>
              <w:left w:w="19" w:type="dxa"/>
              <w:bottom w:w="19" w:type="dxa"/>
              <w:right w:w="19" w:type="dxa"/>
            </w:tcMar>
            <w:vAlign w:val="bottom"/>
          </w:tcPr>
          <w:p w14:paraId="7C08F54C" w14:textId="77777777" w:rsidR="00C04D0E" w:rsidRDefault="003205F5">
            <w:pPr>
              <w:tabs>
                <w:tab w:val="left" w:pos="2430"/>
              </w:tabs>
              <w:spacing w:line="240" w:lineRule="auto"/>
              <w:ind w:right="107"/>
            </w:pPr>
            <w:r>
              <w:t xml:space="preserve">  1</w:t>
            </w:r>
          </w:p>
        </w:tc>
      </w:tr>
    </w:tbl>
    <w:p w14:paraId="59141A61" w14:textId="77777777" w:rsidR="00C04D0E" w:rsidRDefault="00C04D0E">
      <w:pPr>
        <w:tabs>
          <w:tab w:val="left" w:pos="2430"/>
        </w:tabs>
      </w:pPr>
    </w:p>
    <w:p w14:paraId="7344E4A9" w14:textId="77777777" w:rsidR="00C04D0E" w:rsidRDefault="003205F5">
      <w:pPr>
        <w:tabs>
          <w:tab w:val="left" w:pos="2430"/>
        </w:tabs>
      </w:pPr>
      <w:r>
        <w:rPr>
          <w:color w:val="000000"/>
          <w:sz w:val="34"/>
          <w:szCs w:val="34"/>
        </w:rPr>
        <w:t>Erkenningen RTH voor voormalige onderwijsinternaten</w:t>
      </w:r>
    </w:p>
    <w:p w14:paraId="3505170A" w14:textId="77777777" w:rsidR="00C04D0E" w:rsidRDefault="003205F5">
      <w:pPr>
        <w:spacing w:line="240" w:lineRule="auto"/>
        <w:rPr>
          <w:color w:val="000000"/>
        </w:rPr>
      </w:pPr>
      <w:r>
        <w:rPr>
          <w:color w:val="000000"/>
        </w:rPr>
        <w:t xml:space="preserve">Op 1 september 2023 maakten een aantal onderwijsinternaten de overstap van Onderwijs naar Welzijn. Voor de erkenning als MFC bij het VAPH werd een groeipad afgesproken om vanaf 2025 over een volledige MFC-erkenning te beschikken. </w:t>
      </w:r>
      <w:r>
        <w:rPr>
          <w:color w:val="000000"/>
        </w:rPr>
        <w:br/>
      </w:r>
      <w:r>
        <w:rPr>
          <w:color w:val="000000"/>
        </w:rPr>
        <w:br/>
        <w:t xml:space="preserve">Om ook deze MFC’s, waar mogelijk, een breder continuüm van ondersteuning te laten aanbieden, voorzien we de mogelijkheid om een deel van de bijkomende middelen, voorzien voor de erkenning MFC vanaf 2025, om te zetten naar een erkenning RTH. </w:t>
      </w:r>
      <w:r>
        <w:rPr>
          <w:color w:val="000000"/>
        </w:rPr>
        <w:br/>
      </w:r>
      <w:r>
        <w:rPr>
          <w:color w:val="000000"/>
        </w:rPr>
        <w:br/>
      </w:r>
      <w:r>
        <w:rPr>
          <w:b/>
          <w:color w:val="373737"/>
          <w:sz w:val="28"/>
          <w:szCs w:val="28"/>
        </w:rPr>
        <w:t>Voorwaarden</w:t>
      </w:r>
      <w:r>
        <w:rPr>
          <w:b/>
          <w:color w:val="373737"/>
          <w:sz w:val="28"/>
          <w:szCs w:val="28"/>
        </w:rPr>
        <w:br/>
      </w:r>
      <w:r>
        <w:rPr>
          <w:color w:val="000000"/>
        </w:rPr>
        <w:br/>
        <w:t>De MFC’s kunnen een inhoudelijke aanvraag indienen tot reconversie van de bijkomende middelen MFC naar een erkenning RTH, vanaf 1 januari 2025, mits onderstaande voorwaarden.</w:t>
      </w:r>
      <w:r>
        <w:rPr>
          <w:color w:val="000000"/>
        </w:rPr>
        <w:br/>
      </w:r>
      <w:r>
        <w:rPr>
          <w:color w:val="000000"/>
        </w:rPr>
        <w:br/>
        <w:t>Aangezien dit een weloverwogen aanvraag moet zijn, krijgen de MFC's eveneens de mogelijkheid om later deze aanvraag te doen voor omzetting van MFC naar RTH meer bepaald uiterlijk 30 juni 2026 of uiterlijk 30 juni 2027 wat resulteert in een aanpassing van de erkenning op 1 januari 2026 of 1 januari 2027. Voor de MFC's die pas later de aanvraag doen worden tot dan de bijkomende middelen  aan de MFC-erkenning toegevoegd.</w:t>
      </w:r>
      <w:r>
        <w:rPr>
          <w:color w:val="000000"/>
        </w:rPr>
        <w:br/>
      </w:r>
    </w:p>
    <w:p w14:paraId="1F51A6FD" w14:textId="77777777" w:rsidR="00C04D0E" w:rsidRDefault="00C04D0E">
      <w:pPr>
        <w:spacing w:line="240" w:lineRule="auto"/>
      </w:pPr>
    </w:p>
    <w:p w14:paraId="1A7FEEE9" w14:textId="77777777" w:rsidR="00C04D0E" w:rsidRDefault="003205F5">
      <w:pPr>
        <w:spacing w:line="240" w:lineRule="auto"/>
        <w:ind w:right="107"/>
        <w:rPr>
          <w:rFonts w:ascii="Times New Roman" w:eastAsia="Times New Roman" w:hAnsi="Times New Roman" w:cs="Times New Roman"/>
          <w:sz w:val="24"/>
          <w:szCs w:val="24"/>
        </w:rPr>
      </w:pPr>
      <w:r>
        <w:rPr>
          <w:color w:val="000000"/>
        </w:rPr>
        <w:lastRenderedPageBreak/>
        <w:br/>
      </w:r>
      <w:r>
        <w:rPr>
          <w:b/>
          <w:color w:val="000000"/>
        </w:rPr>
        <w:t>Voorwaarden voor de aanvraag:</w:t>
      </w:r>
    </w:p>
    <w:p w14:paraId="38FD208F" w14:textId="77777777" w:rsidR="00C04D0E" w:rsidRDefault="003205F5">
      <w:pPr>
        <w:numPr>
          <w:ilvl w:val="0"/>
          <w:numId w:val="1"/>
        </w:numPr>
        <w:spacing w:after="0" w:line="240" w:lineRule="auto"/>
        <w:rPr>
          <w:color w:val="000000"/>
        </w:rPr>
      </w:pPr>
      <w:r>
        <w:rPr>
          <w:color w:val="000000"/>
        </w:rPr>
        <w:t>Het aanvraagformulier dient tijdig te worden ingediend samen met het regionale advies.</w:t>
      </w:r>
    </w:p>
    <w:p w14:paraId="61D6E577" w14:textId="77777777" w:rsidR="00C04D0E" w:rsidRDefault="003205F5">
      <w:pPr>
        <w:numPr>
          <w:ilvl w:val="0"/>
          <w:numId w:val="1"/>
        </w:numPr>
        <w:spacing w:after="0" w:line="240" w:lineRule="auto"/>
        <w:rPr>
          <w:color w:val="000000"/>
        </w:rPr>
      </w:pPr>
      <w:r>
        <w:rPr>
          <w:color w:val="000000"/>
        </w:rPr>
        <w:t>Er dient een minimum van 35 personeelspunten te worden aangevraagd om een erkenning RTH te kunnen ontvangen.</w:t>
      </w:r>
    </w:p>
    <w:p w14:paraId="0C2DE611" w14:textId="77777777" w:rsidR="00C04D0E" w:rsidRDefault="003205F5">
      <w:pPr>
        <w:numPr>
          <w:ilvl w:val="0"/>
          <w:numId w:val="1"/>
        </w:numPr>
        <w:spacing w:after="0" w:line="240" w:lineRule="auto"/>
        <w:rPr>
          <w:color w:val="000000"/>
        </w:rPr>
      </w:pPr>
      <w:r>
        <w:rPr>
          <w:color w:val="000000"/>
        </w:rPr>
        <w:t>Het maximum aan personeelspunten in de aanvraag mag het aantal nog toe te voegen personeelspunten in de erkenning MFC vanaf 2025 niet overschrijden. Elk MFC is op de hoogte van dit puntenaantal dat verschillend is per MFC.</w:t>
      </w:r>
    </w:p>
    <w:p w14:paraId="57DFD9DD" w14:textId="77777777" w:rsidR="00C04D0E" w:rsidRDefault="003205F5">
      <w:pPr>
        <w:numPr>
          <w:ilvl w:val="0"/>
          <w:numId w:val="1"/>
        </w:numPr>
        <w:spacing w:line="240" w:lineRule="auto"/>
        <w:rPr>
          <w:color w:val="000000"/>
        </w:rPr>
      </w:pPr>
      <w:r>
        <w:rPr>
          <w:color w:val="000000"/>
        </w:rPr>
        <w:t>Elke aanvraag wordt inhoudelijk beoordeeld op basis van de antwoorden geformuleerd in het aanvraagformulier én het toegevoegde regionale advies.</w:t>
      </w:r>
    </w:p>
    <w:p w14:paraId="41B5DC43" w14:textId="77777777" w:rsidR="00C04D0E" w:rsidRDefault="003205F5">
      <w:pPr>
        <w:spacing w:line="240" w:lineRule="auto"/>
        <w:rPr>
          <w:rFonts w:ascii="Times New Roman" w:eastAsia="Times New Roman" w:hAnsi="Times New Roman" w:cs="Times New Roman"/>
          <w:sz w:val="24"/>
          <w:szCs w:val="24"/>
        </w:rPr>
      </w:pPr>
      <w:r>
        <w:rPr>
          <w:color w:val="000000"/>
        </w:rPr>
        <w:br/>
      </w:r>
      <w:r>
        <w:rPr>
          <w:b/>
          <w:color w:val="000000"/>
        </w:rPr>
        <w:t>Timing indienen aanvraag:</w:t>
      </w:r>
    </w:p>
    <w:p w14:paraId="78CFBC2B" w14:textId="64D78C1F" w:rsidR="00C04D0E" w:rsidRDefault="003205F5">
      <w:pPr>
        <w:numPr>
          <w:ilvl w:val="0"/>
          <w:numId w:val="2"/>
        </w:numPr>
        <w:spacing w:after="0" w:line="240" w:lineRule="auto"/>
        <w:rPr>
          <w:color w:val="000000"/>
        </w:rPr>
      </w:pPr>
      <w:r>
        <w:rPr>
          <w:color w:val="000000"/>
        </w:rPr>
        <w:t xml:space="preserve">Aanvragen voor opstart van een RTH-erkenning vanaf 1 januari 2025, moeten ingediend worden </w:t>
      </w:r>
      <w:r>
        <w:rPr>
          <w:b/>
          <w:color w:val="000000"/>
        </w:rPr>
        <w:t xml:space="preserve">ten laatste op </w:t>
      </w:r>
      <w:r w:rsidR="00E46F78">
        <w:rPr>
          <w:b/>
          <w:color w:val="000000"/>
        </w:rPr>
        <w:t>2</w:t>
      </w:r>
      <w:r>
        <w:rPr>
          <w:b/>
          <w:color w:val="000000"/>
        </w:rPr>
        <w:t>5 november 2024</w:t>
      </w:r>
      <w:r>
        <w:rPr>
          <w:color w:val="000000"/>
        </w:rPr>
        <w:t xml:space="preserve"> via mail aan </w:t>
      </w:r>
      <w:hyperlink r:id="rId9">
        <w:r>
          <w:rPr>
            <w:color w:val="0000FF"/>
            <w:u w:val="single"/>
          </w:rPr>
          <w:t>erkenningen@vaph.be</w:t>
        </w:r>
      </w:hyperlink>
      <w:r>
        <w:rPr>
          <w:color w:val="000000"/>
        </w:rPr>
        <w:t>, samen met het regionale advies .</w:t>
      </w:r>
    </w:p>
    <w:p w14:paraId="5472C8E9" w14:textId="77777777" w:rsidR="00C04D0E" w:rsidRDefault="003205F5">
      <w:pPr>
        <w:numPr>
          <w:ilvl w:val="0"/>
          <w:numId w:val="2"/>
        </w:numPr>
        <w:spacing w:after="0" w:line="240" w:lineRule="auto"/>
        <w:rPr>
          <w:color w:val="000000"/>
        </w:rPr>
      </w:pPr>
      <w:r>
        <w:rPr>
          <w:color w:val="000000"/>
        </w:rPr>
        <w:t xml:space="preserve">Aanvragen voor opstart van een RTH-erkenning vanaf 1 januari 2026, moeten ingediend worden ten laatste op 30 juni 2025 via mail aan </w:t>
      </w:r>
      <w:hyperlink r:id="rId10">
        <w:r>
          <w:rPr>
            <w:color w:val="0000FF"/>
            <w:u w:val="single"/>
          </w:rPr>
          <w:t>erkenningen@vaph.be</w:t>
        </w:r>
      </w:hyperlink>
      <w:r>
        <w:rPr>
          <w:color w:val="000000"/>
        </w:rPr>
        <w:t>, samen met het regionale advies.</w:t>
      </w:r>
    </w:p>
    <w:p w14:paraId="52928642" w14:textId="77777777" w:rsidR="00C04D0E" w:rsidRDefault="003205F5">
      <w:pPr>
        <w:numPr>
          <w:ilvl w:val="0"/>
          <w:numId w:val="2"/>
        </w:numPr>
        <w:spacing w:line="240" w:lineRule="auto"/>
        <w:rPr>
          <w:color w:val="000000"/>
        </w:rPr>
      </w:pPr>
      <w:r>
        <w:rPr>
          <w:color w:val="000000"/>
        </w:rPr>
        <w:t xml:space="preserve">Aanvragen voor opstart van een RTH-erkenning vanaf 1 januari 2027, moeten ingediend worden ten laatste op 30 juni 2026 via mail aan </w:t>
      </w:r>
      <w:hyperlink r:id="rId11">
        <w:r>
          <w:rPr>
            <w:color w:val="0000FF"/>
            <w:u w:val="single"/>
          </w:rPr>
          <w:t>erkenningen@vaph.be</w:t>
        </w:r>
      </w:hyperlink>
      <w:r>
        <w:rPr>
          <w:color w:val="000000"/>
        </w:rPr>
        <w:t>, samen met het regionale advies.</w:t>
      </w:r>
    </w:p>
    <w:p w14:paraId="5A35763B" w14:textId="77777777" w:rsidR="00C04D0E" w:rsidRDefault="003205F5">
      <w:pPr>
        <w:spacing w:line="240" w:lineRule="auto"/>
        <w:rPr>
          <w:rFonts w:ascii="Times New Roman" w:eastAsia="Times New Roman" w:hAnsi="Times New Roman" w:cs="Times New Roman"/>
          <w:sz w:val="24"/>
          <w:szCs w:val="24"/>
        </w:rPr>
      </w:pPr>
      <w:r>
        <w:rPr>
          <w:color w:val="000000"/>
        </w:rPr>
        <w:br/>
      </w:r>
      <w:r>
        <w:rPr>
          <w:b/>
          <w:color w:val="373737"/>
          <w:sz w:val="28"/>
          <w:szCs w:val="28"/>
        </w:rPr>
        <w:t>Erkenning RTH</w:t>
      </w:r>
      <w:r>
        <w:rPr>
          <w:b/>
          <w:color w:val="373737"/>
          <w:sz w:val="28"/>
          <w:szCs w:val="28"/>
        </w:rPr>
        <w:br/>
      </w:r>
      <w:r>
        <w:rPr>
          <w:color w:val="000000"/>
        </w:rPr>
        <w:br/>
      </w:r>
      <w:r>
        <w:rPr>
          <w:b/>
          <w:color w:val="373737"/>
          <w:sz w:val="24"/>
          <w:szCs w:val="24"/>
        </w:rPr>
        <w:t>Regelgeving</w:t>
      </w:r>
      <w:r>
        <w:rPr>
          <w:color w:val="000000"/>
          <w:sz w:val="24"/>
          <w:szCs w:val="24"/>
        </w:rPr>
        <w:br/>
      </w:r>
      <w:r>
        <w:rPr>
          <w:color w:val="000000"/>
        </w:rPr>
        <w:br/>
        <w:t xml:space="preserve">Een erkenning RTH volgt de regelgeving in het </w:t>
      </w:r>
      <w:hyperlink r:id="rId12">
        <w:r>
          <w:rPr>
            <w:color w:val="0000FF"/>
            <w:u w:val="single"/>
          </w:rPr>
          <w:t>Besluit van de Vlaamse Regering van 22 februari 2013</w:t>
        </w:r>
      </w:hyperlink>
      <w:r>
        <w:rPr>
          <w:color w:val="000000"/>
        </w:rPr>
        <w:t>.</w:t>
      </w:r>
      <w:r>
        <w:rPr>
          <w:color w:val="000000"/>
        </w:rPr>
        <w:br/>
      </w:r>
      <w:r>
        <w:rPr>
          <w:color w:val="000000"/>
        </w:rPr>
        <w:br/>
        <w:t>Bij een reconversie van personeelspunten MFC naar RTH, wordt volgens een vaste omrekentool de output MFC aangepast. Ook  het aantal werkingsmiddelen in de erkenning MFC wordt verminderd à rato van het aantal om te zetten personeelspunten.</w:t>
      </w:r>
      <w:r>
        <w:rPr>
          <w:color w:val="000000"/>
        </w:rPr>
        <w:br/>
      </w:r>
      <w:r>
        <w:rPr>
          <w:color w:val="000000"/>
        </w:rPr>
        <w:br/>
        <w:t xml:space="preserve">In het erkenningsbesluit RTH zijn deze werkingsmiddelen niet vermeld. Er wordt per personeelspunt 89 euro aan werkingsmiddelen gerekend voor de erkenning RTH. Het zijn deze werkingsmiddelen die mee in mindering gebracht worden in het erkenningsbesluit MFC.  </w:t>
      </w:r>
      <w:r>
        <w:rPr>
          <w:color w:val="000000"/>
        </w:rPr>
        <w:br/>
      </w:r>
      <w:r>
        <w:rPr>
          <w:color w:val="000000"/>
        </w:rPr>
        <w:br/>
        <w:t xml:space="preserve">Verdere info vindt u ook op de website: </w:t>
      </w:r>
      <w:hyperlink r:id="rId13">
        <w:r>
          <w:rPr>
            <w:color w:val="0000FF"/>
            <w:u w:val="single"/>
          </w:rPr>
          <w:t>www.vaph.be/professionelen/rth/algemeen</w:t>
        </w:r>
      </w:hyperlink>
      <w:r>
        <w:rPr>
          <w:color w:val="000000"/>
        </w:rPr>
        <w:t>.</w:t>
      </w:r>
      <w:r>
        <w:rPr>
          <w:color w:val="000000"/>
        </w:rPr>
        <w:br/>
      </w:r>
      <w:r>
        <w:rPr>
          <w:color w:val="000000"/>
        </w:rPr>
        <w:br/>
        <w:t xml:space="preserve">Indien u een reconversie van punten overweegt, kan u via </w:t>
      </w:r>
      <w:hyperlink r:id="rId14">
        <w:r>
          <w:rPr>
            <w:color w:val="0000FF"/>
            <w:u w:val="single"/>
          </w:rPr>
          <w:t>erkenningen@vaph.be</w:t>
        </w:r>
      </w:hyperlink>
      <w:r>
        <w:rPr>
          <w:color w:val="000000"/>
        </w:rPr>
        <w:t xml:space="preserve"> uw concrete vraag stellen voor het voorstel van aanpassing outputnorm te ontvangen.</w:t>
      </w:r>
      <w:r>
        <w:rPr>
          <w:color w:val="000000"/>
        </w:rPr>
        <w:br/>
      </w:r>
      <w:r>
        <w:rPr>
          <w:color w:val="000000"/>
        </w:rPr>
        <w:br/>
      </w:r>
      <w:r>
        <w:rPr>
          <w:b/>
          <w:color w:val="373737"/>
          <w:sz w:val="24"/>
          <w:szCs w:val="24"/>
        </w:rPr>
        <w:t>Timing aanpassing erkenningsbesluiten MFC/opmaak erkenningsbesluit RTH</w:t>
      </w:r>
      <w:r>
        <w:rPr>
          <w:b/>
          <w:color w:val="373737"/>
          <w:sz w:val="24"/>
          <w:szCs w:val="24"/>
        </w:rPr>
        <w:br/>
      </w:r>
      <w:r>
        <w:rPr>
          <w:color w:val="000000"/>
        </w:rPr>
        <w:br/>
        <w:t xml:space="preserve">De erkenningsbesluiten MFC kunnen pas opgesteld worden van zodra alle aanvragen voor reconversie naar RTH ingestuurd en beoordeeld zijn. </w:t>
      </w:r>
      <w:r>
        <w:rPr>
          <w:color w:val="000000"/>
        </w:rPr>
        <w:br/>
      </w:r>
      <w:r>
        <w:rPr>
          <w:color w:val="000000"/>
        </w:rPr>
        <w:br/>
      </w:r>
      <w:r>
        <w:rPr>
          <w:color w:val="000000"/>
        </w:rPr>
        <w:lastRenderedPageBreak/>
        <w:t>Een aangepast erkenningsbesluit MFC en een eventueel erkenningsbesluit RTH zullen  in december verstuurd worden.</w:t>
      </w:r>
    </w:p>
    <w:p w14:paraId="5005909F" w14:textId="77777777" w:rsidR="00C04D0E" w:rsidRDefault="003205F5">
      <w:pPr>
        <w:tabs>
          <w:tab w:val="left" w:pos="2430"/>
        </w:tabs>
        <w:rPr>
          <w:color w:val="000000"/>
        </w:rPr>
      </w:pPr>
      <w:r>
        <w:rPr>
          <w:rFonts w:ascii="Times New Roman" w:eastAsia="Times New Roman" w:hAnsi="Times New Roman" w:cs="Times New Roman"/>
          <w:sz w:val="24"/>
          <w:szCs w:val="24"/>
        </w:rPr>
        <w:br/>
      </w:r>
    </w:p>
    <w:p w14:paraId="0089FFC7" w14:textId="77777777" w:rsidR="00C04D0E" w:rsidRDefault="003205F5">
      <w:pPr>
        <w:tabs>
          <w:tab w:val="left" w:pos="2430"/>
        </w:tabs>
      </w:pPr>
      <w:r>
        <w:rPr>
          <w:color w:val="000000"/>
        </w:rPr>
        <w:br/>
      </w:r>
      <w:r>
        <w:rPr>
          <w:color w:val="000000"/>
        </w:rPr>
        <w:br/>
        <w:t>James Van Casteren</w:t>
      </w:r>
      <w:r>
        <w:rPr>
          <w:color w:val="000000"/>
        </w:rPr>
        <w:br/>
        <w:t>Administrateur-generaal</w:t>
      </w:r>
    </w:p>
    <w:sectPr w:rsidR="00C04D0E">
      <w:footerReference w:type="default" r:id="rId15"/>
      <w:headerReference w:type="first" r:id="rId16"/>
      <w:footerReference w:type="first" r:id="rId17"/>
      <w:pgSz w:w="11906" w:h="16838"/>
      <w:pgMar w:top="1134" w:right="1134" w:bottom="1871" w:left="1871" w:header="709" w:footer="85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B222" w14:textId="77777777" w:rsidR="009451F2" w:rsidRDefault="003205F5">
      <w:pPr>
        <w:spacing w:after="0" w:line="240" w:lineRule="auto"/>
      </w:pPr>
      <w:r>
        <w:separator/>
      </w:r>
    </w:p>
  </w:endnote>
  <w:endnote w:type="continuationSeparator" w:id="0">
    <w:p w14:paraId="686BCF43" w14:textId="77777777" w:rsidR="009451F2" w:rsidRDefault="0032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A4A" w14:textId="77777777" w:rsidR="00C04D0E" w:rsidRDefault="003205F5">
    <w:pPr>
      <w:pBdr>
        <w:top w:val="nil"/>
        <w:left w:val="nil"/>
        <w:bottom w:val="nil"/>
        <w:right w:val="nil"/>
        <w:between w:val="nil"/>
      </w:pBdr>
      <w:spacing w:after="0" w:line="240" w:lineRule="auto"/>
      <w:jc w:val="right"/>
      <w:rPr>
        <w:color w:val="000000"/>
        <w:sz w:val="20"/>
        <w:szCs w:val="20"/>
      </w:rPr>
    </w:pPr>
    <w:r>
      <w:rPr>
        <w:color w:val="000000"/>
        <w:sz w:val="20"/>
        <w:szCs w:val="20"/>
      </w:rPr>
      <w:t xml:space="preserve">pagina </w:t>
    </w:r>
    <w:r>
      <w:rPr>
        <w:color w:val="000000"/>
        <w:sz w:val="20"/>
        <w:szCs w:val="20"/>
      </w:rPr>
      <w:fldChar w:fldCharType="begin"/>
    </w:r>
    <w:r>
      <w:rPr>
        <w:color w:val="000000"/>
        <w:sz w:val="20"/>
        <w:szCs w:val="20"/>
      </w:rPr>
      <w:instrText>PAGE</w:instrText>
    </w:r>
    <w:r>
      <w:rPr>
        <w:color w:val="000000"/>
        <w:sz w:val="20"/>
        <w:szCs w:val="20"/>
      </w:rPr>
      <w:fldChar w:fldCharType="separate"/>
    </w:r>
    <w:r w:rsidR="00EE36CE">
      <w:rPr>
        <w:noProof/>
        <w:color w:val="000000"/>
        <w:sz w:val="20"/>
        <w:szCs w:val="20"/>
      </w:rPr>
      <w:t>2</w:t>
    </w:r>
    <w:r>
      <w:rPr>
        <w:color w:val="000000"/>
        <w:sz w:val="20"/>
        <w:szCs w:val="20"/>
      </w:rPr>
      <w:fldChar w:fldCharType="end"/>
    </w:r>
    <w:r>
      <w:rPr>
        <w:color w:val="000000"/>
        <w:sz w:val="20"/>
        <w:szCs w:val="20"/>
      </w:rPr>
      <w:t xml:space="preserve"> van </w:t>
    </w:r>
    <w:r>
      <w:rPr>
        <w:color w:val="000000"/>
        <w:sz w:val="20"/>
        <w:szCs w:val="20"/>
      </w:rPr>
      <w:fldChar w:fldCharType="begin"/>
    </w:r>
    <w:r>
      <w:rPr>
        <w:color w:val="000000"/>
        <w:sz w:val="20"/>
        <w:szCs w:val="20"/>
      </w:rPr>
      <w:instrText>NUMPAGES</w:instrText>
    </w:r>
    <w:r>
      <w:rPr>
        <w:color w:val="000000"/>
        <w:sz w:val="20"/>
        <w:szCs w:val="20"/>
      </w:rPr>
      <w:fldChar w:fldCharType="separate"/>
    </w:r>
    <w:r w:rsidR="00EE36CE">
      <w:rPr>
        <w:noProof/>
        <w:color w:val="000000"/>
        <w:sz w:val="20"/>
        <w:szCs w:val="20"/>
      </w:rPr>
      <w:t>3</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88CF" w14:textId="77777777" w:rsidR="00C04D0E" w:rsidRDefault="003205F5">
    <w:pPr>
      <w:pBdr>
        <w:top w:val="nil"/>
        <w:left w:val="nil"/>
        <w:bottom w:val="nil"/>
        <w:right w:val="nil"/>
        <w:between w:val="nil"/>
      </w:pBdr>
      <w:spacing w:after="0" w:line="240" w:lineRule="auto"/>
      <w:jc w:val="right"/>
      <w:rPr>
        <w:color w:val="000000"/>
        <w:sz w:val="20"/>
        <w:szCs w:val="20"/>
      </w:rPr>
    </w:pPr>
    <w:r>
      <w:rPr>
        <w:color w:val="000000"/>
        <w:sz w:val="20"/>
        <w:szCs w:val="20"/>
      </w:rPr>
      <w:tab/>
      <w:t xml:space="preserve">pagina </w:t>
    </w:r>
    <w:r>
      <w:rPr>
        <w:color w:val="000000"/>
        <w:sz w:val="20"/>
        <w:szCs w:val="20"/>
      </w:rPr>
      <w:fldChar w:fldCharType="begin"/>
    </w:r>
    <w:r>
      <w:rPr>
        <w:color w:val="000000"/>
        <w:sz w:val="20"/>
        <w:szCs w:val="20"/>
      </w:rPr>
      <w:instrText>PAGE</w:instrText>
    </w:r>
    <w:r>
      <w:rPr>
        <w:color w:val="000000"/>
        <w:sz w:val="20"/>
        <w:szCs w:val="20"/>
      </w:rPr>
      <w:fldChar w:fldCharType="separate"/>
    </w:r>
    <w:r w:rsidR="00EE36CE">
      <w:rPr>
        <w:noProof/>
        <w:color w:val="000000"/>
        <w:sz w:val="20"/>
        <w:szCs w:val="20"/>
      </w:rPr>
      <w:t>1</w:t>
    </w:r>
    <w:r>
      <w:rPr>
        <w:color w:val="000000"/>
        <w:sz w:val="20"/>
        <w:szCs w:val="20"/>
      </w:rPr>
      <w:fldChar w:fldCharType="end"/>
    </w:r>
    <w:r>
      <w:rPr>
        <w:color w:val="000000"/>
        <w:sz w:val="20"/>
        <w:szCs w:val="20"/>
      </w:rPr>
      <w:t xml:space="preserve"> van </w:t>
    </w:r>
    <w:r>
      <w:rPr>
        <w:color w:val="000000"/>
        <w:sz w:val="20"/>
        <w:szCs w:val="20"/>
      </w:rPr>
      <w:fldChar w:fldCharType="begin"/>
    </w:r>
    <w:r>
      <w:rPr>
        <w:color w:val="000000"/>
        <w:sz w:val="20"/>
        <w:szCs w:val="20"/>
      </w:rPr>
      <w:instrText>NUMPAGES</w:instrText>
    </w:r>
    <w:r>
      <w:rPr>
        <w:color w:val="000000"/>
        <w:sz w:val="20"/>
        <w:szCs w:val="20"/>
      </w:rPr>
      <w:fldChar w:fldCharType="separate"/>
    </w:r>
    <w:r w:rsidR="00EE36CE">
      <w:rPr>
        <w:noProof/>
        <w:color w:val="000000"/>
        <w:sz w:val="20"/>
        <w:szCs w:val="20"/>
      </w:rPr>
      <w:t>2</w:t>
    </w:r>
    <w:r>
      <w:rPr>
        <w:color w:val="000000"/>
        <w:sz w:val="20"/>
        <w:szCs w:val="20"/>
      </w:rPr>
      <w:fldChar w:fldCharType="end"/>
    </w:r>
    <w:r>
      <w:rPr>
        <w:noProof/>
      </w:rPr>
      <w:drawing>
        <wp:anchor distT="0" distB="0" distL="114300" distR="114300" simplePos="0" relativeHeight="251658240" behindDoc="0" locked="0" layoutInCell="1" hidden="0" allowOverlap="1" wp14:anchorId="6469AD98" wp14:editId="45358B4B">
          <wp:simplePos x="0" y="0"/>
          <wp:positionH relativeFrom="column">
            <wp:posOffset>1</wp:posOffset>
          </wp:positionH>
          <wp:positionV relativeFrom="paragraph">
            <wp:posOffset>0</wp:posOffset>
          </wp:positionV>
          <wp:extent cx="1270800" cy="54000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0800" cy="54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2ADE" w14:textId="77777777" w:rsidR="009451F2" w:rsidRDefault="003205F5">
      <w:pPr>
        <w:spacing w:after="0" w:line="240" w:lineRule="auto"/>
      </w:pPr>
      <w:r>
        <w:separator/>
      </w:r>
    </w:p>
  </w:footnote>
  <w:footnote w:type="continuationSeparator" w:id="0">
    <w:p w14:paraId="4492A0F4" w14:textId="77777777" w:rsidR="009451F2" w:rsidRDefault="0032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15E0" w14:textId="77777777" w:rsidR="00C04D0E" w:rsidRDefault="003205F5">
    <w:pPr>
      <w:pBdr>
        <w:top w:val="nil"/>
        <w:left w:val="nil"/>
        <w:bottom w:val="nil"/>
        <w:right w:val="nil"/>
        <w:between w:val="nil"/>
      </w:pBdr>
      <w:tabs>
        <w:tab w:val="center" w:pos="4536"/>
        <w:tab w:val="right" w:pos="9072"/>
      </w:tabs>
      <w:spacing w:before="200" w:line="240" w:lineRule="auto"/>
      <w:rPr>
        <w:rFonts w:ascii="FlandersArtSans-Medium" w:eastAsia="FlandersArtSans-Medium" w:hAnsi="FlandersArtSans-Medium" w:cs="FlandersArtSans-Medium"/>
        <w:color w:val="000000"/>
      </w:rPr>
    </w:pPr>
    <w:r>
      <w:rPr>
        <w:rFonts w:ascii="FlandersArtSans-Medium" w:eastAsia="FlandersArtSans-Medium" w:hAnsi="FlandersArtSans-Medium" w:cs="FlandersArtSans-Medium"/>
        <w:noProof/>
        <w:color w:val="000000"/>
      </w:rPr>
      <w:drawing>
        <wp:inline distT="0" distB="0" distL="0" distR="0" wp14:anchorId="4EAA4852" wp14:editId="75A5603B">
          <wp:extent cx="1385576" cy="70007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5576" cy="7000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B4"/>
    <w:multiLevelType w:val="multilevel"/>
    <w:tmpl w:val="BFDACA1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1" w15:restartNumberingAfterBreak="0">
    <w:nsid w:val="5194702D"/>
    <w:multiLevelType w:val="multilevel"/>
    <w:tmpl w:val="58B6A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5C70B5"/>
    <w:multiLevelType w:val="multilevel"/>
    <w:tmpl w:val="56C88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0E"/>
    <w:rsid w:val="003205F5"/>
    <w:rsid w:val="009451F2"/>
    <w:rsid w:val="00C04D0E"/>
    <w:rsid w:val="00E46F78"/>
    <w:rsid w:val="00EE3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9882"/>
  <w15:docId w15:val="{FBA6C8F7-828C-45EA-B1C2-AECFA210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6C2"/>
    <w:pPr>
      <w:spacing w:line="270" w:lineRule="atLeast"/>
    </w:pPr>
  </w:style>
  <w:style w:type="paragraph" w:styleId="Kop1">
    <w:name w:val="heading 1"/>
    <w:basedOn w:val="Standaard"/>
    <w:next w:val="Standaard"/>
    <w:link w:val="Kop1Char"/>
    <w:uiPriority w:val="9"/>
    <w:qFormat/>
    <w:rsid w:val="00440131"/>
    <w:pPr>
      <w:keepNext/>
      <w:keepLines/>
      <w:numPr>
        <w:numId w:val="3"/>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9"/>
    <w:semiHidden/>
    <w:unhideWhenUsed/>
    <w:qFormat/>
    <w:rsid w:val="00440131"/>
    <w:pPr>
      <w:keepNext/>
      <w:numPr>
        <w:ilvl w:val="1"/>
        <w:numId w:val="3"/>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9"/>
    <w:semiHidden/>
    <w:unhideWhenUsed/>
    <w:qFormat/>
    <w:rsid w:val="00BA003E"/>
    <w:pPr>
      <w:keepNext/>
      <w:keepLines/>
      <w:numPr>
        <w:ilvl w:val="2"/>
        <w:numId w:val="3"/>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9"/>
    <w:semiHidden/>
    <w:unhideWhenUsed/>
    <w:qFormat/>
    <w:rsid w:val="003E38E9"/>
    <w:pPr>
      <w:keepNext/>
      <w:keepLines/>
      <w:numPr>
        <w:ilvl w:val="3"/>
        <w:numId w:val="3"/>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9"/>
    <w:semiHidden/>
    <w:unhideWhenUsed/>
    <w:qFormat/>
    <w:rsid w:val="008D01E7"/>
    <w:pPr>
      <w:keepNext/>
      <w:keepLines/>
      <w:numPr>
        <w:ilvl w:val="4"/>
        <w:numId w:val="3"/>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9"/>
    <w:semiHidden/>
    <w:unhideWhenUsed/>
    <w:qFormat/>
    <w:rsid w:val="008D01E7"/>
    <w:pPr>
      <w:keepNext/>
      <w:keepLines/>
      <w:numPr>
        <w:ilvl w:val="5"/>
        <w:numId w:val="3"/>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3"/>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3"/>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3"/>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36333"/>
    <w:pPr>
      <w:spacing w:before="100" w:beforeAutospacing="1" w:after="100" w:afterAutospacing="1"/>
    </w:pPr>
    <w:rPr>
      <w:rFonts w:eastAsiaTheme="majorEastAsia" w:cstheme="majorBidi"/>
      <w:spacing w:val="5"/>
      <w:kern w:val="28"/>
      <w:sz w:val="52"/>
      <w:szCs w:val="52"/>
    </w:rPr>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11"/>
    <w:qFormat/>
    <w:rPr>
      <w:sz w:val="28"/>
      <w:szCs w:val="28"/>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character" w:styleId="Hyperlink">
    <w:name w:val="Hyperlink"/>
    <w:basedOn w:val="Standaardalinea-lettertype"/>
    <w:uiPriority w:val="99"/>
    <w:unhideWhenUsed/>
    <w:rsid w:val="00092697"/>
    <w:rPr>
      <w:color w:val="0000FF" w:themeColor="hyperlink"/>
      <w:u w:val="single"/>
    </w:rPr>
  </w:style>
  <w:style w:type="character" w:styleId="Onopgelostemelding">
    <w:name w:val="Unresolved Mention"/>
    <w:basedOn w:val="Standaardalinea-lettertype"/>
    <w:uiPriority w:val="99"/>
    <w:semiHidden/>
    <w:unhideWhenUsed/>
    <w:rsid w:val="00092697"/>
    <w:rPr>
      <w:color w:val="605E5C"/>
      <w:shd w:val="clear" w:color="auto" w:fill="E1DFDD"/>
    </w:rPr>
  </w:style>
  <w:style w:type="paragraph" w:styleId="Normaalweb">
    <w:name w:val="Normal (Web)"/>
    <w:basedOn w:val="Standaard"/>
    <w:uiPriority w:val="99"/>
    <w:semiHidden/>
    <w:unhideWhenUsed/>
    <w:rsid w:val="006A7A09"/>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rPr>
      <w:color w:val="000000"/>
    </w:rPr>
    <w:tblPr>
      <w:tblStyleRowBandSize w:val="1"/>
      <w:tblStyleColBandSize w:val="1"/>
      <w:tblCellMar>
        <w:top w:w="57" w:type="dxa"/>
        <w:left w:w="108" w:type="dxa"/>
        <w:bottom w:w="57" w:type="dxa"/>
        <w:right w:w="108"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kenningen@vaph.be" TargetMode="External"/><Relationship Id="rId13" Type="http://schemas.openxmlformats.org/officeDocument/2006/relationships/hyperlink" Target="http://www.vaph.be/professionelen/rth/algeme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ph.be/documenten/besluit-van-de-vlaamse-regering-van-22-februari-20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kenningen@vaph.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rkenningen@vaph.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kenningen@vaph.be" TargetMode="External"/><Relationship Id="rId14" Type="http://schemas.openxmlformats.org/officeDocument/2006/relationships/hyperlink" Target="mailto:erkenningen@vaph.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NsOwdbOCpEaCpkvrMGtQQbVMw==">CgMxLjA4AHIhMTBhY21ocmRVV3FKQTkyeEtQMDhSeUlMX25SeUU0Qmxa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3</cp:revision>
  <dcterms:created xsi:type="dcterms:W3CDTF">2024-10-25T06:45:00Z</dcterms:created>
  <dcterms:modified xsi:type="dcterms:W3CDTF">2024-10-28T09:22:00Z</dcterms:modified>
</cp:coreProperties>
</file>