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1"/>
        <w:tblW w:w="8880" w:type="dxa"/>
        <w:tblInd w:w="0" w:type="dxa"/>
        <w:tblLayout w:type="fixed"/>
        <w:tblLook w:val="0600" w:firstRow="0" w:lastRow="0" w:firstColumn="0" w:lastColumn="0" w:noHBand="1" w:noVBand="1"/>
      </w:tblPr>
      <w:tblGrid>
        <w:gridCol w:w="2490"/>
        <w:gridCol w:w="6390"/>
      </w:tblGrid>
      <w:tr w:rsidR="00C47177" w:rsidRPr="00A32388" w14:paraId="518EAACD" w14:textId="77777777">
        <w:tc>
          <w:tcPr>
            <w:tcW w:w="2490" w:type="dxa"/>
            <w:vMerge w:val="restart"/>
            <w:shd w:val="clear" w:color="auto" w:fill="auto"/>
            <w:tcMar>
              <w:top w:w="60" w:type="dxa"/>
              <w:left w:w="100" w:type="dxa"/>
              <w:bottom w:w="60" w:type="dxa"/>
              <w:right w:w="100" w:type="dxa"/>
            </w:tcMar>
          </w:tcPr>
          <w:p w14:paraId="2EBCCEBB" w14:textId="77777777" w:rsidR="00C47177" w:rsidRPr="00A32388" w:rsidRDefault="00A32388">
            <w:pPr>
              <w:widowControl w:val="0"/>
              <w:spacing w:line="240" w:lineRule="auto"/>
              <w:rPr>
                <w:lang w:val="nl-NL"/>
              </w:rPr>
            </w:pPr>
            <w:r w:rsidRPr="00A32388">
              <w:rPr>
                <w:noProof/>
                <w:lang w:val="nl-NL"/>
              </w:rPr>
              <w:drawing>
                <wp:inline distT="114300" distB="114300" distL="114300" distR="114300" wp14:anchorId="7E805AC9" wp14:editId="1D27C982">
                  <wp:extent cx="1405278" cy="642938"/>
                  <wp:effectExtent l="0" t="0" r="0" b="0"/>
                  <wp:docPr id="1" name="image2.png" descr="logo_vaph_word_300dpi.png"/>
                  <wp:cNvGraphicFramePr/>
                  <a:graphic xmlns:a="http://schemas.openxmlformats.org/drawingml/2006/main">
                    <a:graphicData uri="http://schemas.openxmlformats.org/drawingml/2006/picture">
                      <pic:pic xmlns:pic="http://schemas.openxmlformats.org/drawingml/2006/picture">
                        <pic:nvPicPr>
                          <pic:cNvPr id="0" name="image2.png" descr="logo_vaph_word_300dpi.png"/>
                          <pic:cNvPicPr preferRelativeResize="0"/>
                        </pic:nvPicPr>
                        <pic:blipFill>
                          <a:blip r:embed="rId7"/>
                          <a:srcRect/>
                          <a:stretch>
                            <a:fillRect/>
                          </a:stretch>
                        </pic:blipFill>
                        <pic:spPr>
                          <a:xfrm>
                            <a:off x="0" y="0"/>
                            <a:ext cx="1405278" cy="642938"/>
                          </a:xfrm>
                          <a:prstGeom prst="rect">
                            <a:avLst/>
                          </a:prstGeom>
                          <a:ln/>
                        </pic:spPr>
                      </pic:pic>
                    </a:graphicData>
                  </a:graphic>
                </wp:inline>
              </w:drawing>
            </w:r>
          </w:p>
          <w:p w14:paraId="1C53A27C" w14:textId="77777777" w:rsidR="00C47177" w:rsidRPr="00A32388" w:rsidRDefault="00C47177">
            <w:pPr>
              <w:widowControl w:val="0"/>
              <w:spacing w:line="240" w:lineRule="auto"/>
              <w:rPr>
                <w:lang w:val="nl-NL"/>
              </w:rPr>
            </w:pPr>
          </w:p>
          <w:p w14:paraId="4F8D1E4A" w14:textId="77777777" w:rsidR="00C47177" w:rsidRPr="00A32388" w:rsidRDefault="00A32388">
            <w:pPr>
              <w:widowControl w:val="0"/>
              <w:spacing w:line="240" w:lineRule="auto"/>
              <w:rPr>
                <w:lang w:val="nl-NL"/>
              </w:rPr>
            </w:pPr>
            <w:proofErr w:type="gramStart"/>
            <w:r w:rsidRPr="00A32388">
              <w:rPr>
                <w:lang w:val="nl-NL"/>
              </w:rPr>
              <w:t>www.vaph.be</w:t>
            </w:r>
            <w:proofErr w:type="gramEnd"/>
          </w:p>
        </w:tc>
        <w:tc>
          <w:tcPr>
            <w:tcW w:w="6390" w:type="dxa"/>
            <w:shd w:val="clear" w:color="auto" w:fill="auto"/>
            <w:tcMar>
              <w:top w:w="60" w:type="dxa"/>
              <w:left w:w="100" w:type="dxa"/>
              <w:bottom w:w="60" w:type="dxa"/>
              <w:right w:w="100" w:type="dxa"/>
            </w:tcMar>
          </w:tcPr>
          <w:p w14:paraId="73CFD7A8" w14:textId="77777777" w:rsidR="00C47177" w:rsidRPr="00A32388" w:rsidRDefault="00C47177">
            <w:pPr>
              <w:widowControl w:val="0"/>
              <w:jc w:val="right"/>
              <w:rPr>
                <w:b/>
                <w:sz w:val="36"/>
                <w:szCs w:val="36"/>
                <w:lang w:val="nl-NL"/>
              </w:rPr>
            </w:pPr>
          </w:p>
          <w:p w14:paraId="0791373B" w14:textId="77777777" w:rsidR="00C47177" w:rsidRPr="00A32388" w:rsidRDefault="00C47177">
            <w:pPr>
              <w:widowControl w:val="0"/>
              <w:jc w:val="right"/>
              <w:rPr>
                <w:b/>
                <w:sz w:val="36"/>
                <w:szCs w:val="36"/>
                <w:lang w:val="nl-NL"/>
              </w:rPr>
            </w:pPr>
          </w:p>
          <w:p w14:paraId="690074D3" w14:textId="77777777" w:rsidR="00C47177" w:rsidRPr="00A32388" w:rsidRDefault="00A32388">
            <w:pPr>
              <w:widowControl w:val="0"/>
              <w:jc w:val="right"/>
              <w:rPr>
                <w:b/>
                <w:sz w:val="36"/>
                <w:szCs w:val="36"/>
                <w:lang w:val="nl-NL"/>
              </w:rPr>
            </w:pPr>
            <w:r w:rsidRPr="00A32388">
              <w:rPr>
                <w:b/>
                <w:sz w:val="36"/>
                <w:szCs w:val="36"/>
                <w:lang w:val="nl-NL"/>
              </w:rPr>
              <w:t>INFONOTA</w:t>
            </w:r>
          </w:p>
        </w:tc>
      </w:tr>
      <w:tr w:rsidR="00C47177" w:rsidRPr="00A32388" w14:paraId="320290CA" w14:textId="77777777">
        <w:tc>
          <w:tcPr>
            <w:tcW w:w="2490" w:type="dxa"/>
            <w:vMerge/>
            <w:shd w:val="clear" w:color="auto" w:fill="auto"/>
            <w:tcMar>
              <w:top w:w="100" w:type="dxa"/>
              <w:left w:w="100" w:type="dxa"/>
              <w:bottom w:w="100" w:type="dxa"/>
              <w:right w:w="100" w:type="dxa"/>
            </w:tcMar>
          </w:tcPr>
          <w:p w14:paraId="693B66BE" w14:textId="77777777" w:rsidR="00C47177" w:rsidRPr="00A32388" w:rsidRDefault="00C47177">
            <w:pPr>
              <w:widowControl w:val="0"/>
              <w:rPr>
                <w:lang w:val="nl-NL"/>
              </w:rPr>
            </w:pPr>
          </w:p>
        </w:tc>
        <w:tc>
          <w:tcPr>
            <w:tcW w:w="6390" w:type="dxa"/>
            <w:shd w:val="clear" w:color="auto" w:fill="auto"/>
            <w:tcMar>
              <w:top w:w="60" w:type="dxa"/>
              <w:left w:w="100" w:type="dxa"/>
              <w:bottom w:w="60" w:type="dxa"/>
              <w:right w:w="100" w:type="dxa"/>
            </w:tcMar>
          </w:tcPr>
          <w:p w14:paraId="26E172EC" w14:textId="77777777" w:rsidR="00C47177" w:rsidRPr="00A32388" w:rsidRDefault="00A32388">
            <w:pPr>
              <w:widowControl w:val="0"/>
              <w:jc w:val="right"/>
              <w:rPr>
                <w:b/>
                <w:sz w:val="26"/>
                <w:szCs w:val="26"/>
                <w:lang w:val="nl-NL"/>
              </w:rPr>
            </w:pPr>
            <w:r w:rsidRPr="00A32388">
              <w:rPr>
                <w:sz w:val="26"/>
                <w:szCs w:val="26"/>
                <w:lang w:val="nl-NL"/>
              </w:rPr>
              <w:t>Aan: gemachtigde experten, multidisciplinaire teams (MDT), multifunctionele centra (MFC), vergunde zorgaanbieders (VZA)</w:t>
            </w:r>
          </w:p>
        </w:tc>
      </w:tr>
      <w:tr w:rsidR="00C47177" w:rsidRPr="00A32388" w14:paraId="0BD80E0E" w14:textId="77777777">
        <w:tc>
          <w:tcPr>
            <w:tcW w:w="2490" w:type="dxa"/>
            <w:vMerge/>
            <w:shd w:val="clear" w:color="auto" w:fill="auto"/>
            <w:tcMar>
              <w:top w:w="100" w:type="dxa"/>
              <w:left w:w="100" w:type="dxa"/>
              <w:bottom w:w="100" w:type="dxa"/>
              <w:right w:w="100" w:type="dxa"/>
            </w:tcMar>
          </w:tcPr>
          <w:p w14:paraId="2779730C" w14:textId="77777777" w:rsidR="00C47177" w:rsidRPr="00A32388" w:rsidRDefault="00C47177">
            <w:pPr>
              <w:widowControl w:val="0"/>
              <w:rPr>
                <w:lang w:val="nl-NL"/>
              </w:rPr>
            </w:pPr>
          </w:p>
        </w:tc>
        <w:tc>
          <w:tcPr>
            <w:tcW w:w="6390" w:type="dxa"/>
            <w:shd w:val="clear" w:color="auto" w:fill="auto"/>
            <w:tcMar>
              <w:top w:w="60" w:type="dxa"/>
              <w:left w:w="100" w:type="dxa"/>
              <w:bottom w:w="60" w:type="dxa"/>
              <w:right w:w="100" w:type="dxa"/>
            </w:tcMar>
          </w:tcPr>
          <w:p w14:paraId="793F48C8" w14:textId="77777777" w:rsidR="00C47177" w:rsidRPr="00A32388" w:rsidRDefault="00A32388">
            <w:pPr>
              <w:widowControl w:val="0"/>
              <w:jc w:val="right"/>
              <w:rPr>
                <w:color w:val="666666"/>
                <w:lang w:val="nl-NL"/>
              </w:rPr>
            </w:pPr>
            <w:r w:rsidRPr="00A32388">
              <w:rPr>
                <w:color w:val="666666"/>
                <w:lang w:val="nl-NL"/>
              </w:rPr>
              <w:t>30/08/2024</w:t>
            </w:r>
          </w:p>
        </w:tc>
      </w:tr>
      <w:tr w:rsidR="00C47177" w:rsidRPr="00A32388" w14:paraId="14931D28" w14:textId="77777777">
        <w:tc>
          <w:tcPr>
            <w:tcW w:w="2490" w:type="dxa"/>
            <w:vMerge/>
            <w:shd w:val="clear" w:color="auto" w:fill="auto"/>
            <w:tcMar>
              <w:top w:w="100" w:type="dxa"/>
              <w:left w:w="100" w:type="dxa"/>
              <w:bottom w:w="100" w:type="dxa"/>
              <w:right w:w="100" w:type="dxa"/>
            </w:tcMar>
          </w:tcPr>
          <w:p w14:paraId="7A9FEA0D" w14:textId="77777777" w:rsidR="00C47177" w:rsidRPr="00A32388" w:rsidRDefault="00C47177">
            <w:pPr>
              <w:widowControl w:val="0"/>
              <w:rPr>
                <w:lang w:val="nl-NL"/>
              </w:rPr>
            </w:pPr>
          </w:p>
        </w:tc>
        <w:tc>
          <w:tcPr>
            <w:tcW w:w="6390" w:type="dxa"/>
            <w:shd w:val="clear" w:color="auto" w:fill="auto"/>
            <w:tcMar>
              <w:top w:w="60" w:type="dxa"/>
              <w:left w:w="100" w:type="dxa"/>
              <w:bottom w:w="60" w:type="dxa"/>
              <w:right w:w="100" w:type="dxa"/>
            </w:tcMar>
          </w:tcPr>
          <w:p w14:paraId="63E2F30D" w14:textId="77777777" w:rsidR="00C47177" w:rsidRPr="00A32388" w:rsidRDefault="00A32388">
            <w:pPr>
              <w:widowControl w:val="0"/>
              <w:jc w:val="right"/>
              <w:rPr>
                <w:color w:val="666666"/>
                <w:lang w:val="nl-NL"/>
              </w:rPr>
            </w:pPr>
            <w:r w:rsidRPr="00A32388">
              <w:rPr>
                <w:color w:val="666666"/>
                <w:lang w:val="nl-NL"/>
              </w:rPr>
              <w:t>INF/24/25</w:t>
            </w:r>
          </w:p>
        </w:tc>
      </w:tr>
      <w:tr w:rsidR="00C47177" w:rsidRPr="00A32388" w14:paraId="2A2D3771" w14:textId="77777777">
        <w:tc>
          <w:tcPr>
            <w:tcW w:w="2490" w:type="dxa"/>
            <w:shd w:val="clear" w:color="auto" w:fill="auto"/>
            <w:tcMar>
              <w:top w:w="20" w:type="dxa"/>
              <w:left w:w="100" w:type="dxa"/>
              <w:bottom w:w="20" w:type="dxa"/>
              <w:right w:w="100" w:type="dxa"/>
            </w:tcMar>
          </w:tcPr>
          <w:p w14:paraId="6AD23C6E" w14:textId="77777777" w:rsidR="00C47177" w:rsidRPr="00A32388" w:rsidRDefault="00A32388">
            <w:pPr>
              <w:widowControl w:val="0"/>
              <w:jc w:val="right"/>
              <w:rPr>
                <w:b/>
                <w:sz w:val="20"/>
                <w:szCs w:val="20"/>
                <w:lang w:val="nl-NL"/>
              </w:rPr>
            </w:pPr>
            <w:r w:rsidRPr="00A32388">
              <w:rPr>
                <w:b/>
                <w:sz w:val="20"/>
                <w:szCs w:val="20"/>
                <w:lang w:val="nl-NL"/>
              </w:rPr>
              <w:t>Contactpersoon</w:t>
            </w:r>
          </w:p>
        </w:tc>
        <w:tc>
          <w:tcPr>
            <w:tcW w:w="6390" w:type="dxa"/>
            <w:shd w:val="clear" w:color="auto" w:fill="auto"/>
            <w:tcMar>
              <w:top w:w="20" w:type="dxa"/>
              <w:left w:w="100" w:type="dxa"/>
              <w:bottom w:w="20" w:type="dxa"/>
              <w:right w:w="100" w:type="dxa"/>
            </w:tcMar>
            <w:vAlign w:val="bottom"/>
          </w:tcPr>
          <w:p w14:paraId="1E652AF2" w14:textId="77777777" w:rsidR="00C47177" w:rsidRPr="00A32388" w:rsidRDefault="00A32388">
            <w:pPr>
              <w:widowControl w:val="0"/>
              <w:rPr>
                <w:lang w:val="nl-NL"/>
              </w:rPr>
            </w:pPr>
            <w:r w:rsidRPr="00A32388">
              <w:rPr>
                <w:lang w:val="nl-NL"/>
              </w:rPr>
              <w:t>Kenniscentrum hulpmiddelen (KOC)</w:t>
            </w:r>
          </w:p>
        </w:tc>
      </w:tr>
      <w:tr w:rsidR="00C47177" w:rsidRPr="00A32388" w14:paraId="25915549" w14:textId="77777777">
        <w:tc>
          <w:tcPr>
            <w:tcW w:w="2490" w:type="dxa"/>
            <w:shd w:val="clear" w:color="auto" w:fill="auto"/>
            <w:tcMar>
              <w:top w:w="20" w:type="dxa"/>
              <w:left w:w="100" w:type="dxa"/>
              <w:bottom w:w="20" w:type="dxa"/>
              <w:right w:w="100" w:type="dxa"/>
            </w:tcMar>
          </w:tcPr>
          <w:p w14:paraId="23B4C65D" w14:textId="77777777" w:rsidR="00C47177" w:rsidRPr="00A32388" w:rsidRDefault="00A32388">
            <w:pPr>
              <w:widowControl w:val="0"/>
              <w:jc w:val="right"/>
              <w:rPr>
                <w:b/>
                <w:sz w:val="20"/>
                <w:szCs w:val="20"/>
                <w:lang w:val="nl-NL"/>
              </w:rPr>
            </w:pPr>
            <w:r w:rsidRPr="00A32388">
              <w:rPr>
                <w:b/>
                <w:sz w:val="20"/>
                <w:szCs w:val="20"/>
                <w:lang w:val="nl-NL"/>
              </w:rPr>
              <w:t>E-mail</w:t>
            </w:r>
          </w:p>
        </w:tc>
        <w:tc>
          <w:tcPr>
            <w:tcW w:w="6390" w:type="dxa"/>
            <w:shd w:val="clear" w:color="auto" w:fill="auto"/>
            <w:tcMar>
              <w:top w:w="20" w:type="dxa"/>
              <w:left w:w="100" w:type="dxa"/>
              <w:bottom w:w="20" w:type="dxa"/>
              <w:right w:w="100" w:type="dxa"/>
            </w:tcMar>
            <w:vAlign w:val="bottom"/>
          </w:tcPr>
          <w:p w14:paraId="692AAF3B" w14:textId="2E1F5E8D" w:rsidR="00C47177" w:rsidRPr="00A32388" w:rsidRDefault="00A32388">
            <w:pPr>
              <w:widowControl w:val="0"/>
              <w:rPr>
                <w:sz w:val="20"/>
                <w:szCs w:val="20"/>
                <w:lang w:val="nl-NL"/>
              </w:rPr>
            </w:pPr>
            <w:proofErr w:type="gramStart"/>
            <w:r w:rsidRPr="00A32388">
              <w:rPr>
                <w:sz w:val="20"/>
                <w:szCs w:val="20"/>
                <w:lang w:val="nl-NL"/>
              </w:rPr>
              <w:t>koc</w:t>
            </w:r>
            <w:r w:rsidRPr="00A32388">
              <w:rPr>
                <w:sz w:val="20"/>
                <w:szCs w:val="20"/>
                <w:lang w:val="nl-NL"/>
              </w:rPr>
              <w:t>@vaph.be</w:t>
            </w:r>
            <w:proofErr w:type="gramEnd"/>
          </w:p>
        </w:tc>
      </w:tr>
      <w:tr w:rsidR="00C47177" w:rsidRPr="00A32388" w14:paraId="09B75F00" w14:textId="77777777">
        <w:tc>
          <w:tcPr>
            <w:tcW w:w="2490" w:type="dxa"/>
            <w:shd w:val="clear" w:color="auto" w:fill="auto"/>
            <w:tcMar>
              <w:top w:w="20" w:type="dxa"/>
              <w:left w:w="100" w:type="dxa"/>
              <w:bottom w:w="20" w:type="dxa"/>
              <w:right w:w="100" w:type="dxa"/>
            </w:tcMar>
          </w:tcPr>
          <w:p w14:paraId="538185BE" w14:textId="77777777" w:rsidR="00C47177" w:rsidRPr="00A32388" w:rsidRDefault="00A32388">
            <w:pPr>
              <w:widowControl w:val="0"/>
              <w:jc w:val="right"/>
              <w:rPr>
                <w:b/>
                <w:sz w:val="20"/>
                <w:szCs w:val="20"/>
                <w:lang w:val="nl-NL"/>
              </w:rPr>
            </w:pPr>
            <w:r w:rsidRPr="00A32388">
              <w:rPr>
                <w:b/>
                <w:sz w:val="20"/>
                <w:szCs w:val="20"/>
                <w:lang w:val="nl-NL"/>
              </w:rPr>
              <w:t>Telefoon</w:t>
            </w:r>
          </w:p>
        </w:tc>
        <w:tc>
          <w:tcPr>
            <w:tcW w:w="6390" w:type="dxa"/>
            <w:shd w:val="clear" w:color="auto" w:fill="auto"/>
            <w:tcMar>
              <w:top w:w="20" w:type="dxa"/>
              <w:left w:w="100" w:type="dxa"/>
              <w:bottom w:w="20" w:type="dxa"/>
              <w:right w:w="100" w:type="dxa"/>
            </w:tcMar>
            <w:vAlign w:val="bottom"/>
          </w:tcPr>
          <w:p w14:paraId="2AF4BB04" w14:textId="77777777" w:rsidR="00C47177" w:rsidRPr="00A32388" w:rsidRDefault="00A32388">
            <w:pPr>
              <w:widowControl w:val="0"/>
              <w:rPr>
                <w:sz w:val="20"/>
                <w:szCs w:val="20"/>
                <w:lang w:val="nl-NL"/>
              </w:rPr>
            </w:pPr>
            <w:r w:rsidRPr="00A32388">
              <w:rPr>
                <w:sz w:val="20"/>
                <w:szCs w:val="20"/>
                <w:lang w:val="nl-NL"/>
              </w:rPr>
              <w:t>02 249 34 44</w:t>
            </w:r>
          </w:p>
        </w:tc>
      </w:tr>
      <w:tr w:rsidR="00C47177" w:rsidRPr="00A32388" w14:paraId="333CE593" w14:textId="77777777">
        <w:tc>
          <w:tcPr>
            <w:tcW w:w="8880" w:type="dxa"/>
            <w:gridSpan w:val="2"/>
            <w:shd w:val="clear" w:color="auto" w:fill="auto"/>
            <w:tcMar>
              <w:top w:w="60" w:type="dxa"/>
              <w:left w:w="100" w:type="dxa"/>
              <w:bottom w:w="60" w:type="dxa"/>
              <w:right w:w="100" w:type="dxa"/>
            </w:tcMar>
          </w:tcPr>
          <w:p w14:paraId="5AC42E9B" w14:textId="77777777" w:rsidR="00C47177" w:rsidRPr="00A32388" w:rsidRDefault="00C47177">
            <w:pPr>
              <w:widowControl w:val="0"/>
              <w:rPr>
                <w:sz w:val="34"/>
                <w:szCs w:val="34"/>
                <w:lang w:val="nl-NL"/>
              </w:rPr>
            </w:pPr>
          </w:p>
        </w:tc>
      </w:tr>
      <w:tr w:rsidR="00C47177" w:rsidRPr="00A32388" w14:paraId="2AD2B6B2" w14:textId="77777777">
        <w:tc>
          <w:tcPr>
            <w:tcW w:w="8880" w:type="dxa"/>
            <w:gridSpan w:val="2"/>
            <w:shd w:val="clear" w:color="auto" w:fill="auto"/>
            <w:tcMar>
              <w:top w:w="60" w:type="dxa"/>
              <w:left w:w="100" w:type="dxa"/>
              <w:bottom w:w="60" w:type="dxa"/>
              <w:right w:w="100" w:type="dxa"/>
            </w:tcMar>
          </w:tcPr>
          <w:p w14:paraId="423FF625" w14:textId="77777777" w:rsidR="00C47177" w:rsidRPr="00A32388" w:rsidRDefault="00A32388">
            <w:pPr>
              <w:widowControl w:val="0"/>
              <w:rPr>
                <w:sz w:val="34"/>
                <w:szCs w:val="34"/>
                <w:lang w:val="nl-NL"/>
              </w:rPr>
            </w:pPr>
            <w:r w:rsidRPr="00A32388">
              <w:rPr>
                <w:sz w:val="34"/>
                <w:szCs w:val="34"/>
                <w:lang w:val="nl-NL"/>
              </w:rPr>
              <w:t>Wijzigingen aan de refertelijsten en de hulpmiddelenfiches vanaf 1 oktober 2024</w:t>
            </w:r>
          </w:p>
        </w:tc>
      </w:tr>
      <w:tr w:rsidR="00C47177" w:rsidRPr="00A32388" w14:paraId="4BFE8AC6" w14:textId="77777777">
        <w:tc>
          <w:tcPr>
            <w:tcW w:w="8880" w:type="dxa"/>
            <w:gridSpan w:val="2"/>
            <w:shd w:val="clear" w:color="auto" w:fill="auto"/>
            <w:tcMar>
              <w:top w:w="60" w:type="dxa"/>
              <w:left w:w="100" w:type="dxa"/>
              <w:bottom w:w="60" w:type="dxa"/>
              <w:right w:w="100" w:type="dxa"/>
            </w:tcMar>
          </w:tcPr>
          <w:p w14:paraId="70B7888D" w14:textId="77777777" w:rsidR="00C47177" w:rsidRPr="00A32388" w:rsidRDefault="00A32388">
            <w:pPr>
              <w:widowControl w:val="0"/>
              <w:jc w:val="right"/>
              <w:rPr>
                <w:sz w:val="20"/>
                <w:szCs w:val="20"/>
                <w:lang w:val="nl-NL"/>
              </w:rPr>
            </w:pPr>
            <w:r w:rsidRPr="00A32388">
              <w:rPr>
                <w:sz w:val="20"/>
                <w:szCs w:val="20"/>
                <w:lang w:val="nl-NL"/>
              </w:rPr>
              <w:t xml:space="preserve"> </w:t>
            </w:r>
          </w:p>
        </w:tc>
      </w:tr>
    </w:tbl>
    <w:p w14:paraId="7F1EAA03" w14:textId="77777777" w:rsidR="00C47177" w:rsidRPr="00A32388" w:rsidRDefault="00A32388">
      <w:pPr>
        <w:widowControl w:val="0"/>
        <w:spacing w:line="360" w:lineRule="auto"/>
        <w:rPr>
          <w:lang w:val="nl-NL"/>
        </w:rPr>
      </w:pPr>
      <w:r w:rsidRPr="00A32388">
        <w:rPr>
          <w:lang w:val="nl-NL"/>
        </w:rPr>
        <w:t xml:space="preserve">Vanaf 1 oktober 2024 worden een aantal wijzigingen aan de refertelijst, de refertelijst bis en de hulpmiddelenfiches doorgevoerd. We lichten </w:t>
      </w:r>
      <w:proofErr w:type="gramStart"/>
      <w:r w:rsidRPr="00A32388">
        <w:rPr>
          <w:lang w:val="nl-NL"/>
        </w:rPr>
        <w:t>hier toe</w:t>
      </w:r>
      <w:proofErr w:type="gramEnd"/>
      <w:r w:rsidRPr="00A32388">
        <w:rPr>
          <w:lang w:val="nl-NL"/>
        </w:rPr>
        <w:t xml:space="preserve"> wat de wijzigingen precies inhouden. De wijzigingen gelden voor aanvragen die bij het VAPH ingediend worde</w:t>
      </w:r>
      <w:r w:rsidRPr="00A32388">
        <w:rPr>
          <w:lang w:val="nl-NL"/>
        </w:rPr>
        <w:t>n vanaf die datum.</w:t>
      </w:r>
    </w:p>
    <w:p w14:paraId="566D3E5C" w14:textId="77777777" w:rsidR="00C47177" w:rsidRPr="00A32388" w:rsidRDefault="00C47177">
      <w:pPr>
        <w:pBdr>
          <w:top w:val="nil"/>
          <w:left w:val="nil"/>
          <w:bottom w:val="nil"/>
          <w:right w:val="nil"/>
          <w:between w:val="nil"/>
        </w:pBdr>
        <w:rPr>
          <w:lang w:val="nl-NL"/>
        </w:rPr>
      </w:pPr>
    </w:p>
    <w:p w14:paraId="37FE2045" w14:textId="77777777" w:rsidR="00C47177" w:rsidRPr="00A32388" w:rsidRDefault="00A32388">
      <w:pPr>
        <w:pStyle w:val="Kop3"/>
        <w:widowControl w:val="0"/>
        <w:numPr>
          <w:ilvl w:val="0"/>
          <w:numId w:val="2"/>
        </w:numPr>
        <w:spacing w:line="360" w:lineRule="auto"/>
        <w:ind w:left="566"/>
        <w:rPr>
          <w:lang w:val="nl-NL"/>
        </w:rPr>
      </w:pPr>
      <w:bookmarkStart w:id="0" w:name="_l9j85lifayfj" w:colFirst="0" w:colLast="0"/>
      <w:bookmarkEnd w:id="0"/>
      <w:r w:rsidRPr="00A32388">
        <w:rPr>
          <w:lang w:val="nl-NL"/>
        </w:rPr>
        <w:t>Activiteiten dagelijks leven</w:t>
      </w:r>
    </w:p>
    <w:p w14:paraId="2B28D088" w14:textId="77777777" w:rsidR="00C47177" w:rsidRPr="00A32388" w:rsidRDefault="00A32388">
      <w:pPr>
        <w:pStyle w:val="Kop3"/>
        <w:numPr>
          <w:ilvl w:val="1"/>
          <w:numId w:val="2"/>
        </w:numPr>
        <w:ind w:left="708" w:hanging="285"/>
        <w:rPr>
          <w:lang w:val="nl-NL"/>
        </w:rPr>
      </w:pPr>
      <w:bookmarkStart w:id="1" w:name="_nu6re72qy6c1" w:colFirst="0" w:colLast="0"/>
      <w:bookmarkEnd w:id="1"/>
      <w:r w:rsidRPr="00A32388">
        <w:rPr>
          <w:lang w:val="nl-NL"/>
        </w:rPr>
        <w:t>Trippelstoel voor volwassenen</w:t>
      </w:r>
    </w:p>
    <w:p w14:paraId="57D4C699" w14:textId="77777777" w:rsidR="00C47177" w:rsidRPr="00A32388" w:rsidRDefault="00C47177">
      <w:pPr>
        <w:rPr>
          <w:u w:val="single"/>
          <w:lang w:val="nl-NL"/>
        </w:rPr>
      </w:pPr>
    </w:p>
    <w:p w14:paraId="18D3C994" w14:textId="77777777" w:rsidR="00C47177" w:rsidRPr="00A32388" w:rsidRDefault="00A32388">
      <w:pPr>
        <w:rPr>
          <w:lang w:val="nl-NL"/>
        </w:rPr>
      </w:pPr>
      <w:r w:rsidRPr="00A32388">
        <w:rPr>
          <w:b/>
          <w:lang w:val="nl-NL"/>
        </w:rPr>
        <w:t>Aanpassing</w:t>
      </w:r>
      <w:r w:rsidRPr="00A32388">
        <w:rPr>
          <w:lang w:val="nl-NL"/>
        </w:rPr>
        <w:t>: aanpassing refertebedrag; aanpassing basiskost</w:t>
      </w:r>
    </w:p>
    <w:p w14:paraId="0FE8FF1F" w14:textId="77777777" w:rsidR="00C47177" w:rsidRPr="00A32388" w:rsidRDefault="00A32388">
      <w:pPr>
        <w:spacing w:before="240" w:after="240"/>
        <w:rPr>
          <w:lang w:val="nl-NL"/>
        </w:rPr>
      </w:pPr>
      <w:r w:rsidRPr="00A32388">
        <w:rPr>
          <w:lang w:val="nl-NL"/>
        </w:rPr>
        <w:t>De tegemoetkoming voor de trippelstoel wordt verhoogd naar 1.150,79 euro, de huidige kostprijs voor de goedkoopste ad</w:t>
      </w:r>
      <w:r w:rsidRPr="00A32388">
        <w:rPr>
          <w:lang w:val="nl-NL"/>
        </w:rPr>
        <w:t xml:space="preserve">equate oplossing. Ook het bedrag voor de basiskost wordt geactualiseerd op basis van de huidige prijzen naar 179,00 euro. </w:t>
      </w:r>
    </w:p>
    <w:p w14:paraId="788FFF42" w14:textId="77777777" w:rsidR="00C47177" w:rsidRPr="00A32388" w:rsidRDefault="00A32388">
      <w:pPr>
        <w:pStyle w:val="Kop3"/>
        <w:numPr>
          <w:ilvl w:val="1"/>
          <w:numId w:val="2"/>
        </w:numPr>
        <w:ind w:left="708" w:hanging="285"/>
        <w:rPr>
          <w:lang w:val="nl-NL"/>
        </w:rPr>
      </w:pPr>
      <w:bookmarkStart w:id="2" w:name="_6k2tw41034tu" w:colFirst="0" w:colLast="0"/>
      <w:bookmarkEnd w:id="2"/>
      <w:r w:rsidRPr="00A32388">
        <w:rPr>
          <w:lang w:val="nl-NL"/>
        </w:rPr>
        <w:t>Babyfoonzender bij compact, mobiel en uitgebreid signaleringssysteem</w:t>
      </w:r>
    </w:p>
    <w:p w14:paraId="47406D41" w14:textId="77777777" w:rsidR="00C47177" w:rsidRPr="00A32388" w:rsidRDefault="00C47177">
      <w:pPr>
        <w:rPr>
          <w:u w:val="single"/>
          <w:lang w:val="nl-NL"/>
        </w:rPr>
      </w:pPr>
    </w:p>
    <w:p w14:paraId="0DAC2E35" w14:textId="77777777" w:rsidR="00C47177" w:rsidRPr="00A32388" w:rsidRDefault="00A32388">
      <w:pPr>
        <w:rPr>
          <w:lang w:val="nl-NL"/>
        </w:rPr>
      </w:pPr>
      <w:r w:rsidRPr="00A32388">
        <w:rPr>
          <w:b/>
          <w:lang w:val="nl-NL"/>
        </w:rPr>
        <w:t>Aanpassing</w:t>
      </w:r>
      <w:r w:rsidRPr="00A32388">
        <w:rPr>
          <w:lang w:val="nl-NL"/>
        </w:rPr>
        <w:t>: aanpassing refertebedrag; invoering basiskost</w:t>
      </w:r>
    </w:p>
    <w:p w14:paraId="217567B2" w14:textId="77777777" w:rsidR="00C47177" w:rsidRPr="00A32388" w:rsidRDefault="00C47177">
      <w:pPr>
        <w:rPr>
          <w:lang w:val="nl-NL"/>
        </w:rPr>
      </w:pPr>
    </w:p>
    <w:p w14:paraId="3017D33C" w14:textId="77777777" w:rsidR="00C47177" w:rsidRPr="00A32388" w:rsidRDefault="00A32388">
      <w:pPr>
        <w:rPr>
          <w:lang w:val="nl-NL"/>
        </w:rPr>
      </w:pPr>
      <w:r w:rsidRPr="00A32388">
        <w:rPr>
          <w:lang w:val="nl-NL"/>
        </w:rPr>
        <w:t xml:space="preserve">Het </w:t>
      </w:r>
      <w:r w:rsidRPr="00A32388">
        <w:rPr>
          <w:lang w:val="nl-NL"/>
        </w:rPr>
        <w:t xml:space="preserve">refertebedrag voor babyfoonzenders voor doven en slechthorenden, wordt verhoogd naar 120,00 euro. </w:t>
      </w:r>
    </w:p>
    <w:p w14:paraId="1D0F67C9" w14:textId="77777777" w:rsidR="00C47177" w:rsidRPr="00A32388" w:rsidRDefault="00A32388">
      <w:pPr>
        <w:rPr>
          <w:lang w:val="nl-NL"/>
        </w:rPr>
      </w:pPr>
      <w:r w:rsidRPr="00A32388">
        <w:rPr>
          <w:lang w:val="nl-NL"/>
        </w:rPr>
        <w:t>Daarnaast wordt er bij deze referterubrieken een basiskost van 35,00 euro opgenomen.</w:t>
      </w:r>
    </w:p>
    <w:p w14:paraId="730D4C54" w14:textId="77777777" w:rsidR="00C47177" w:rsidRPr="00A32388" w:rsidRDefault="00A32388">
      <w:pPr>
        <w:rPr>
          <w:lang w:val="nl-NL"/>
        </w:rPr>
      </w:pPr>
      <w:r w:rsidRPr="00A32388">
        <w:rPr>
          <w:lang w:val="nl-NL"/>
        </w:rPr>
        <w:t xml:space="preserve"> </w:t>
      </w:r>
    </w:p>
    <w:p w14:paraId="60362933" w14:textId="77777777" w:rsidR="00C47177" w:rsidRPr="00A32388" w:rsidRDefault="00A32388">
      <w:pPr>
        <w:pStyle w:val="Kop3"/>
        <w:numPr>
          <w:ilvl w:val="1"/>
          <w:numId w:val="2"/>
        </w:numPr>
        <w:ind w:left="708" w:hanging="285"/>
        <w:rPr>
          <w:lang w:val="nl-NL"/>
        </w:rPr>
      </w:pPr>
      <w:bookmarkStart w:id="3" w:name="_w1qkapcjnm1u" w:colFirst="0" w:colLast="0"/>
      <w:bookmarkEnd w:id="3"/>
      <w:r w:rsidRPr="00A32388">
        <w:rPr>
          <w:lang w:val="nl-NL"/>
        </w:rPr>
        <w:lastRenderedPageBreak/>
        <w:t xml:space="preserve">Aanvulling bij </w:t>
      </w:r>
      <w:proofErr w:type="spellStart"/>
      <w:r w:rsidRPr="00A32388">
        <w:rPr>
          <w:lang w:val="nl-NL"/>
        </w:rPr>
        <w:t>bedbox</w:t>
      </w:r>
      <w:proofErr w:type="spellEnd"/>
      <w:r w:rsidRPr="00A32388">
        <w:rPr>
          <w:lang w:val="nl-NL"/>
        </w:rPr>
        <w:t xml:space="preserve"> met elektrische hoogteverstelling en </w:t>
      </w:r>
      <w:proofErr w:type="spellStart"/>
      <w:r w:rsidRPr="00A32388">
        <w:rPr>
          <w:lang w:val="nl-NL"/>
        </w:rPr>
        <w:t>bedbox</w:t>
      </w:r>
      <w:proofErr w:type="spellEnd"/>
      <w:r w:rsidRPr="00A32388">
        <w:rPr>
          <w:lang w:val="nl-NL"/>
        </w:rPr>
        <w:t xml:space="preserve"> op v</w:t>
      </w:r>
      <w:r w:rsidRPr="00A32388">
        <w:rPr>
          <w:lang w:val="nl-NL"/>
        </w:rPr>
        <w:t>aste hoogte &gt; Polstering</w:t>
      </w:r>
    </w:p>
    <w:p w14:paraId="18D77EF1" w14:textId="77777777" w:rsidR="00C47177" w:rsidRPr="00A32388" w:rsidRDefault="00C47177">
      <w:pPr>
        <w:rPr>
          <w:b/>
          <w:u w:val="single"/>
          <w:lang w:val="nl-NL"/>
        </w:rPr>
      </w:pPr>
    </w:p>
    <w:p w14:paraId="1E2DAF3B" w14:textId="77777777" w:rsidR="00C47177" w:rsidRPr="00A32388" w:rsidRDefault="00A32388">
      <w:pPr>
        <w:rPr>
          <w:lang w:val="nl-NL"/>
        </w:rPr>
      </w:pPr>
      <w:r w:rsidRPr="00A32388">
        <w:rPr>
          <w:b/>
          <w:lang w:val="nl-NL"/>
        </w:rPr>
        <w:t>Aanpassing:</w:t>
      </w:r>
      <w:r w:rsidRPr="00A32388">
        <w:rPr>
          <w:lang w:val="nl-NL"/>
        </w:rPr>
        <w:t xml:space="preserve"> aanpassing refertebedrag</w:t>
      </w:r>
    </w:p>
    <w:p w14:paraId="59A82F71" w14:textId="77777777" w:rsidR="00C47177" w:rsidRPr="00A32388" w:rsidRDefault="00C47177">
      <w:pPr>
        <w:rPr>
          <w:b/>
          <w:lang w:val="nl-NL"/>
        </w:rPr>
      </w:pPr>
    </w:p>
    <w:p w14:paraId="2430E70E" w14:textId="77777777" w:rsidR="00C47177" w:rsidRPr="00A32388" w:rsidRDefault="00A32388">
      <w:pPr>
        <w:rPr>
          <w:lang w:val="nl-NL"/>
        </w:rPr>
      </w:pPr>
      <w:r w:rsidRPr="00A32388">
        <w:rPr>
          <w:lang w:val="nl-NL"/>
        </w:rPr>
        <w:t xml:space="preserve">Door een wijziging in het aanbod wordt het refertebedrag voor polstering in een </w:t>
      </w:r>
      <w:proofErr w:type="spellStart"/>
      <w:r w:rsidRPr="00A32388">
        <w:rPr>
          <w:lang w:val="nl-NL"/>
        </w:rPr>
        <w:t>bedbox</w:t>
      </w:r>
      <w:proofErr w:type="spellEnd"/>
      <w:r w:rsidRPr="00A32388">
        <w:rPr>
          <w:lang w:val="nl-NL"/>
        </w:rPr>
        <w:t xml:space="preserve"> verhoogd tot 2.117,50 euro. </w:t>
      </w:r>
    </w:p>
    <w:p w14:paraId="031CD83C" w14:textId="77777777" w:rsidR="00C47177" w:rsidRPr="00A32388" w:rsidRDefault="00A32388">
      <w:pPr>
        <w:rPr>
          <w:lang w:val="nl-NL"/>
        </w:rPr>
      </w:pPr>
      <w:r w:rsidRPr="00A32388">
        <w:rPr>
          <w:lang w:val="nl-NL"/>
        </w:rPr>
        <w:t xml:space="preserve"> </w:t>
      </w:r>
    </w:p>
    <w:p w14:paraId="04A0289A" w14:textId="77777777" w:rsidR="00C47177" w:rsidRPr="00A32388" w:rsidRDefault="00A32388">
      <w:pPr>
        <w:pStyle w:val="Kop3"/>
        <w:numPr>
          <w:ilvl w:val="1"/>
          <w:numId w:val="2"/>
        </w:numPr>
        <w:ind w:left="708" w:hanging="285"/>
        <w:rPr>
          <w:lang w:val="nl-NL"/>
        </w:rPr>
      </w:pPr>
      <w:bookmarkStart w:id="4" w:name="_t2mpk0tnnxrc" w:colFirst="0" w:colLast="0"/>
      <w:bookmarkEnd w:id="4"/>
      <w:proofErr w:type="spellStart"/>
      <w:r w:rsidRPr="00A32388">
        <w:rPr>
          <w:lang w:val="nl-NL"/>
        </w:rPr>
        <w:t>Bedbox</w:t>
      </w:r>
      <w:proofErr w:type="spellEnd"/>
      <w:r w:rsidRPr="00A32388">
        <w:rPr>
          <w:lang w:val="nl-NL"/>
        </w:rPr>
        <w:t xml:space="preserve"> met elektrische hoogteverstelling</w:t>
      </w:r>
    </w:p>
    <w:p w14:paraId="0F425545" w14:textId="77777777" w:rsidR="00C47177" w:rsidRPr="00A32388" w:rsidRDefault="00C47177">
      <w:pPr>
        <w:rPr>
          <w:u w:val="single"/>
          <w:lang w:val="nl-NL"/>
        </w:rPr>
      </w:pPr>
    </w:p>
    <w:p w14:paraId="7ECE00CF" w14:textId="77777777" w:rsidR="00C47177" w:rsidRPr="00A32388" w:rsidRDefault="00A32388">
      <w:pPr>
        <w:rPr>
          <w:lang w:val="nl-NL"/>
        </w:rPr>
      </w:pPr>
      <w:r w:rsidRPr="00A32388">
        <w:rPr>
          <w:b/>
          <w:lang w:val="nl-NL"/>
        </w:rPr>
        <w:t>Aanpassing</w:t>
      </w:r>
      <w:r w:rsidRPr="00A32388">
        <w:rPr>
          <w:lang w:val="nl-NL"/>
        </w:rPr>
        <w:t>: aanpassing refertebedrag</w:t>
      </w:r>
    </w:p>
    <w:p w14:paraId="40020477" w14:textId="77777777" w:rsidR="00C47177" w:rsidRPr="00A32388" w:rsidRDefault="00A32388">
      <w:pPr>
        <w:rPr>
          <w:lang w:val="nl-NL"/>
        </w:rPr>
      </w:pPr>
      <w:r w:rsidRPr="00A32388">
        <w:rPr>
          <w:lang w:val="nl-NL"/>
        </w:rPr>
        <w:tab/>
      </w:r>
    </w:p>
    <w:p w14:paraId="287223D2" w14:textId="77777777" w:rsidR="00C47177" w:rsidRPr="00A32388" w:rsidRDefault="00A32388">
      <w:pPr>
        <w:rPr>
          <w:lang w:val="nl-NL"/>
        </w:rPr>
      </w:pPr>
      <w:r w:rsidRPr="00A32388">
        <w:rPr>
          <w:lang w:val="nl-NL"/>
        </w:rPr>
        <w:t xml:space="preserve">Door een wijziging in het aanbod wordt het refertebedrag voor een </w:t>
      </w:r>
      <w:proofErr w:type="spellStart"/>
      <w:r w:rsidRPr="00A32388">
        <w:rPr>
          <w:lang w:val="nl-NL"/>
        </w:rPr>
        <w:t>bedbox</w:t>
      </w:r>
      <w:proofErr w:type="spellEnd"/>
      <w:r w:rsidRPr="00A32388">
        <w:rPr>
          <w:lang w:val="nl-NL"/>
        </w:rPr>
        <w:t xml:space="preserve"> met elektrische hoogteverstelling verhoogd tot 5.830,99 euro.</w:t>
      </w:r>
    </w:p>
    <w:p w14:paraId="3DD4F9EB" w14:textId="77777777" w:rsidR="00C47177" w:rsidRPr="00A32388" w:rsidRDefault="00C47177">
      <w:pPr>
        <w:rPr>
          <w:lang w:val="nl-NL"/>
        </w:rPr>
      </w:pPr>
    </w:p>
    <w:p w14:paraId="2E8482EA" w14:textId="77777777" w:rsidR="00C47177" w:rsidRPr="00A32388" w:rsidRDefault="00A32388">
      <w:pPr>
        <w:pStyle w:val="Kop3"/>
        <w:numPr>
          <w:ilvl w:val="1"/>
          <w:numId w:val="2"/>
        </w:numPr>
        <w:ind w:left="708" w:hanging="285"/>
        <w:rPr>
          <w:lang w:val="nl-NL"/>
        </w:rPr>
      </w:pPr>
      <w:bookmarkStart w:id="5" w:name="_bh3045avhnyp" w:colFirst="0" w:colLast="0"/>
      <w:bookmarkEnd w:id="5"/>
      <w:proofErr w:type="spellStart"/>
      <w:r w:rsidRPr="00A32388">
        <w:rPr>
          <w:lang w:val="nl-NL"/>
        </w:rPr>
        <w:t>Bedbox</w:t>
      </w:r>
      <w:proofErr w:type="spellEnd"/>
      <w:r w:rsidRPr="00A32388">
        <w:rPr>
          <w:lang w:val="nl-NL"/>
        </w:rPr>
        <w:t xml:space="preserve"> op vaste hoogte</w:t>
      </w:r>
    </w:p>
    <w:p w14:paraId="2C9F1CFB" w14:textId="77777777" w:rsidR="00C47177" w:rsidRPr="00A32388" w:rsidRDefault="00C47177">
      <w:pPr>
        <w:rPr>
          <w:lang w:val="nl-NL"/>
        </w:rPr>
      </w:pPr>
    </w:p>
    <w:p w14:paraId="6F279815" w14:textId="77777777" w:rsidR="00C47177" w:rsidRPr="00A32388" w:rsidRDefault="00A32388">
      <w:pPr>
        <w:rPr>
          <w:lang w:val="nl-NL"/>
        </w:rPr>
      </w:pPr>
      <w:r w:rsidRPr="00A32388">
        <w:rPr>
          <w:b/>
          <w:lang w:val="nl-NL"/>
        </w:rPr>
        <w:t>Aanpassing</w:t>
      </w:r>
      <w:r w:rsidRPr="00A32388">
        <w:rPr>
          <w:lang w:val="nl-NL"/>
        </w:rPr>
        <w:t>: aan</w:t>
      </w:r>
      <w:r w:rsidRPr="00A32388">
        <w:rPr>
          <w:lang w:val="nl-NL"/>
        </w:rPr>
        <w:t>passing refertebedrag</w:t>
      </w:r>
    </w:p>
    <w:p w14:paraId="5D0241BB" w14:textId="77777777" w:rsidR="00C47177" w:rsidRPr="00A32388" w:rsidRDefault="00C47177">
      <w:pPr>
        <w:rPr>
          <w:lang w:val="nl-NL"/>
        </w:rPr>
      </w:pPr>
    </w:p>
    <w:p w14:paraId="3AA0968C" w14:textId="77777777" w:rsidR="00C47177" w:rsidRPr="00A32388" w:rsidRDefault="00A32388">
      <w:pPr>
        <w:rPr>
          <w:lang w:val="nl-NL"/>
        </w:rPr>
      </w:pPr>
      <w:r w:rsidRPr="00A32388">
        <w:rPr>
          <w:lang w:val="nl-NL"/>
        </w:rPr>
        <w:t xml:space="preserve">Door een wijziging in het aanbod wordt het refertebedrag voor een </w:t>
      </w:r>
      <w:proofErr w:type="spellStart"/>
      <w:r w:rsidRPr="00A32388">
        <w:rPr>
          <w:lang w:val="nl-NL"/>
        </w:rPr>
        <w:t>bedbox</w:t>
      </w:r>
      <w:proofErr w:type="spellEnd"/>
      <w:r w:rsidRPr="00A32388">
        <w:rPr>
          <w:lang w:val="nl-NL"/>
        </w:rPr>
        <w:t xml:space="preserve"> op vaste hoogte verhoogd tot 4.498,31 euro.</w:t>
      </w:r>
    </w:p>
    <w:p w14:paraId="3DBC5D1D" w14:textId="77777777" w:rsidR="00C47177" w:rsidRPr="00A32388" w:rsidRDefault="00A32388">
      <w:pPr>
        <w:rPr>
          <w:lang w:val="nl-NL"/>
        </w:rPr>
      </w:pPr>
      <w:r w:rsidRPr="00A32388">
        <w:rPr>
          <w:lang w:val="nl-NL"/>
        </w:rPr>
        <w:t xml:space="preserve"> </w:t>
      </w:r>
    </w:p>
    <w:p w14:paraId="7E4CFCB8" w14:textId="77777777" w:rsidR="00C47177" w:rsidRPr="00A32388" w:rsidRDefault="00A32388">
      <w:pPr>
        <w:pStyle w:val="Kop3"/>
        <w:numPr>
          <w:ilvl w:val="1"/>
          <w:numId w:val="2"/>
        </w:numPr>
        <w:ind w:left="708" w:hanging="285"/>
        <w:rPr>
          <w:lang w:val="nl-NL"/>
        </w:rPr>
      </w:pPr>
      <w:bookmarkStart w:id="6" w:name="_t74hikzh8jlz" w:colFirst="0" w:colLast="0"/>
      <w:bookmarkEnd w:id="6"/>
      <w:r w:rsidRPr="00A32388">
        <w:rPr>
          <w:lang w:val="nl-NL"/>
        </w:rPr>
        <w:t>Onruststoel</w:t>
      </w:r>
    </w:p>
    <w:p w14:paraId="6A882137" w14:textId="77777777" w:rsidR="00C47177" w:rsidRPr="00A32388" w:rsidRDefault="00C47177">
      <w:pPr>
        <w:rPr>
          <w:u w:val="single"/>
          <w:lang w:val="nl-NL"/>
        </w:rPr>
      </w:pPr>
    </w:p>
    <w:p w14:paraId="036F3D49" w14:textId="77777777" w:rsidR="00C47177" w:rsidRPr="00A32388" w:rsidRDefault="00A32388">
      <w:pPr>
        <w:rPr>
          <w:lang w:val="nl-NL"/>
        </w:rPr>
      </w:pPr>
      <w:r w:rsidRPr="00A32388">
        <w:rPr>
          <w:b/>
          <w:lang w:val="nl-NL"/>
        </w:rPr>
        <w:t>Aanpassing</w:t>
      </w:r>
      <w:r w:rsidRPr="00A32388">
        <w:rPr>
          <w:lang w:val="nl-NL"/>
        </w:rPr>
        <w:t>: nieuwe rubriek</w:t>
      </w:r>
    </w:p>
    <w:p w14:paraId="5D8EC820" w14:textId="77777777" w:rsidR="00C47177" w:rsidRPr="00A32388" w:rsidRDefault="00C47177">
      <w:pPr>
        <w:rPr>
          <w:lang w:val="nl-NL"/>
        </w:rPr>
      </w:pPr>
    </w:p>
    <w:p w14:paraId="49A04CB7" w14:textId="77777777" w:rsidR="00C47177" w:rsidRPr="00A32388" w:rsidRDefault="00A32388">
      <w:pPr>
        <w:rPr>
          <w:lang w:val="nl-NL"/>
        </w:rPr>
      </w:pPr>
      <w:r w:rsidRPr="00A32388">
        <w:rPr>
          <w:lang w:val="nl-NL"/>
        </w:rPr>
        <w:t>Er wordt een nieuwe referterubriek met een refertetermijn van 15 jaar en een refertebedrag van 4.621,00 euro aan de refertelijst toegevoegd om een vergoeding voor een onruststoel te voorzien. Bij elke goedkeuring voor dit hulpmiddel wordt een bijkomende te</w:t>
      </w:r>
      <w:r w:rsidRPr="00A32388">
        <w:rPr>
          <w:lang w:val="nl-NL"/>
        </w:rPr>
        <w:t>gemoetkoming van 20% van het refertebedrag toegekend voor toekomstige herstellingskosten.</w:t>
      </w:r>
    </w:p>
    <w:p w14:paraId="25ABE133" w14:textId="77777777" w:rsidR="00C47177" w:rsidRPr="00A32388" w:rsidRDefault="00C47177">
      <w:pPr>
        <w:rPr>
          <w:lang w:val="nl-NL"/>
        </w:rPr>
      </w:pPr>
    </w:p>
    <w:p w14:paraId="4DEB1766" w14:textId="77777777" w:rsidR="00C47177" w:rsidRPr="00A32388" w:rsidRDefault="00A32388">
      <w:pPr>
        <w:rPr>
          <w:i/>
          <w:lang w:val="nl-NL"/>
        </w:rPr>
      </w:pPr>
      <w:r w:rsidRPr="00A32388">
        <w:rPr>
          <w:lang w:val="nl-NL"/>
        </w:rPr>
        <w:t>Een onruststoel wordt in de hulpmiddelenfiches beschreven als “</w:t>
      </w:r>
      <w:r w:rsidRPr="00A32388">
        <w:rPr>
          <w:i/>
          <w:lang w:val="nl-NL"/>
        </w:rPr>
        <w:t xml:space="preserve">een stoel die fysieke begrenzing voorziet waardoor een persoon op een veilige manier activiteiten kan </w:t>
      </w:r>
      <w:r w:rsidRPr="00A32388">
        <w:rPr>
          <w:i/>
          <w:lang w:val="nl-NL"/>
        </w:rPr>
        <w:t>uitvoeren en die minimaal aan de volgende vereisten voldoet:</w:t>
      </w:r>
    </w:p>
    <w:p w14:paraId="4EED94E5" w14:textId="77777777" w:rsidR="00C47177" w:rsidRPr="00A32388" w:rsidRDefault="00A32388">
      <w:pPr>
        <w:numPr>
          <w:ilvl w:val="0"/>
          <w:numId w:val="5"/>
        </w:numPr>
        <w:rPr>
          <w:i/>
          <w:lang w:val="nl-NL"/>
        </w:rPr>
      </w:pPr>
      <w:proofErr w:type="gramStart"/>
      <w:r w:rsidRPr="00A32388">
        <w:rPr>
          <w:i/>
          <w:lang w:val="nl-NL"/>
        </w:rPr>
        <w:t>instelbaar</w:t>
      </w:r>
      <w:proofErr w:type="gramEnd"/>
      <w:r w:rsidRPr="00A32388">
        <w:rPr>
          <w:i/>
          <w:lang w:val="nl-NL"/>
        </w:rPr>
        <w:t xml:space="preserve"> of ingesteld op de noden van de gebruiker;</w:t>
      </w:r>
    </w:p>
    <w:p w14:paraId="0B76042A" w14:textId="77777777" w:rsidR="00C47177" w:rsidRPr="00A32388" w:rsidRDefault="00A32388">
      <w:pPr>
        <w:numPr>
          <w:ilvl w:val="0"/>
          <w:numId w:val="5"/>
        </w:numPr>
        <w:rPr>
          <w:i/>
          <w:lang w:val="nl-NL"/>
        </w:rPr>
      </w:pPr>
      <w:proofErr w:type="gramStart"/>
      <w:r w:rsidRPr="00A32388">
        <w:rPr>
          <w:i/>
          <w:lang w:val="nl-NL"/>
        </w:rPr>
        <w:t>gemaakt</w:t>
      </w:r>
      <w:proofErr w:type="gramEnd"/>
      <w:r w:rsidRPr="00A32388">
        <w:rPr>
          <w:i/>
          <w:lang w:val="nl-NL"/>
        </w:rPr>
        <w:t xml:space="preserve"> van stevig en slijtvast materiaal dat bestand is tegen ernstige motorische onrust;</w:t>
      </w:r>
    </w:p>
    <w:p w14:paraId="498A731C" w14:textId="77777777" w:rsidR="00C47177" w:rsidRPr="00A32388" w:rsidRDefault="00A32388">
      <w:pPr>
        <w:numPr>
          <w:ilvl w:val="0"/>
          <w:numId w:val="5"/>
        </w:numPr>
        <w:rPr>
          <w:i/>
          <w:lang w:val="nl-NL"/>
        </w:rPr>
      </w:pPr>
      <w:proofErr w:type="gramStart"/>
      <w:r w:rsidRPr="00A32388">
        <w:rPr>
          <w:i/>
          <w:lang w:val="nl-NL"/>
        </w:rPr>
        <w:t>niet</w:t>
      </w:r>
      <w:proofErr w:type="gramEnd"/>
      <w:r w:rsidRPr="00A32388">
        <w:rPr>
          <w:i/>
          <w:lang w:val="nl-NL"/>
        </w:rPr>
        <w:t xml:space="preserve"> kantelbaar of verschuifbaar wanneer de gebrui</w:t>
      </w:r>
      <w:r w:rsidRPr="00A32388">
        <w:rPr>
          <w:i/>
          <w:lang w:val="nl-NL"/>
        </w:rPr>
        <w:t>ker in de stoel zit;</w:t>
      </w:r>
    </w:p>
    <w:p w14:paraId="5F6EC752" w14:textId="77777777" w:rsidR="00C47177" w:rsidRPr="00A32388" w:rsidRDefault="00A32388">
      <w:pPr>
        <w:numPr>
          <w:ilvl w:val="0"/>
          <w:numId w:val="5"/>
        </w:numPr>
        <w:rPr>
          <w:i/>
          <w:lang w:val="nl-NL"/>
        </w:rPr>
      </w:pPr>
      <w:proofErr w:type="gramStart"/>
      <w:r w:rsidRPr="00A32388">
        <w:rPr>
          <w:i/>
          <w:lang w:val="nl-NL"/>
        </w:rPr>
        <w:t>brengt</w:t>
      </w:r>
      <w:proofErr w:type="gramEnd"/>
      <w:r w:rsidRPr="00A32388">
        <w:rPr>
          <w:i/>
          <w:lang w:val="nl-NL"/>
        </w:rPr>
        <w:t xml:space="preserve"> rust en geborgenheid voor de gebruiker;</w:t>
      </w:r>
    </w:p>
    <w:p w14:paraId="37E17FF0" w14:textId="77777777" w:rsidR="00C47177" w:rsidRPr="00A32388" w:rsidRDefault="00A32388">
      <w:pPr>
        <w:numPr>
          <w:ilvl w:val="0"/>
          <w:numId w:val="5"/>
        </w:numPr>
        <w:rPr>
          <w:i/>
          <w:lang w:val="nl-NL"/>
        </w:rPr>
      </w:pPr>
      <w:proofErr w:type="gramStart"/>
      <w:r w:rsidRPr="00A32388">
        <w:rPr>
          <w:i/>
          <w:lang w:val="nl-NL"/>
        </w:rPr>
        <w:t>niet</w:t>
      </w:r>
      <w:proofErr w:type="gramEnd"/>
      <w:r w:rsidRPr="00A32388">
        <w:rPr>
          <w:i/>
          <w:lang w:val="nl-NL"/>
        </w:rPr>
        <w:t xml:space="preserve"> zelfstandig te verlaten zonder begeleider.</w:t>
      </w:r>
    </w:p>
    <w:p w14:paraId="60F5EA49" w14:textId="77777777" w:rsidR="00C47177" w:rsidRPr="00A32388" w:rsidRDefault="00C47177">
      <w:pPr>
        <w:rPr>
          <w:i/>
          <w:lang w:val="nl-NL"/>
        </w:rPr>
      </w:pPr>
    </w:p>
    <w:p w14:paraId="5529D307" w14:textId="77777777" w:rsidR="00C47177" w:rsidRPr="00A32388" w:rsidRDefault="00A32388">
      <w:pPr>
        <w:rPr>
          <w:i/>
          <w:lang w:val="nl-NL"/>
        </w:rPr>
      </w:pPr>
      <w:r w:rsidRPr="00A32388">
        <w:rPr>
          <w:i/>
          <w:lang w:val="nl-NL"/>
        </w:rPr>
        <w:t>Een onruststoel kan voorzien zijn van:</w:t>
      </w:r>
    </w:p>
    <w:p w14:paraId="40918B96" w14:textId="77777777" w:rsidR="00C47177" w:rsidRPr="00A32388" w:rsidRDefault="00A32388">
      <w:pPr>
        <w:numPr>
          <w:ilvl w:val="0"/>
          <w:numId w:val="4"/>
        </w:numPr>
        <w:rPr>
          <w:i/>
          <w:lang w:val="nl-NL"/>
        </w:rPr>
      </w:pPr>
      <w:proofErr w:type="gramStart"/>
      <w:r w:rsidRPr="00A32388">
        <w:rPr>
          <w:i/>
          <w:lang w:val="nl-NL"/>
        </w:rPr>
        <w:t>tafelblad</w:t>
      </w:r>
      <w:proofErr w:type="gramEnd"/>
    </w:p>
    <w:p w14:paraId="2AA4BD61" w14:textId="77777777" w:rsidR="00C47177" w:rsidRPr="00A32388" w:rsidRDefault="00A32388">
      <w:pPr>
        <w:numPr>
          <w:ilvl w:val="0"/>
          <w:numId w:val="4"/>
        </w:numPr>
        <w:rPr>
          <w:i/>
          <w:lang w:val="nl-NL"/>
        </w:rPr>
      </w:pPr>
      <w:proofErr w:type="gramStart"/>
      <w:r w:rsidRPr="00A32388">
        <w:rPr>
          <w:i/>
          <w:lang w:val="nl-NL"/>
        </w:rPr>
        <w:t>slot</w:t>
      </w:r>
      <w:proofErr w:type="gramEnd"/>
      <w:r w:rsidRPr="00A32388">
        <w:rPr>
          <w:i/>
          <w:lang w:val="nl-NL"/>
        </w:rPr>
        <w:t xml:space="preserve"> en sleutel(s)</w:t>
      </w:r>
    </w:p>
    <w:p w14:paraId="0D01FB72" w14:textId="77777777" w:rsidR="00C47177" w:rsidRPr="00A32388" w:rsidRDefault="00A32388">
      <w:pPr>
        <w:numPr>
          <w:ilvl w:val="0"/>
          <w:numId w:val="4"/>
        </w:numPr>
        <w:rPr>
          <w:i/>
          <w:lang w:val="nl-NL"/>
        </w:rPr>
      </w:pPr>
      <w:proofErr w:type="gramStart"/>
      <w:r w:rsidRPr="00A32388">
        <w:rPr>
          <w:i/>
          <w:lang w:val="nl-NL"/>
        </w:rPr>
        <w:lastRenderedPageBreak/>
        <w:t>muuranker</w:t>
      </w:r>
      <w:proofErr w:type="gramEnd"/>
    </w:p>
    <w:p w14:paraId="201809A6" w14:textId="77777777" w:rsidR="00C47177" w:rsidRPr="00A32388" w:rsidRDefault="00A32388">
      <w:pPr>
        <w:numPr>
          <w:ilvl w:val="0"/>
          <w:numId w:val="4"/>
        </w:numPr>
        <w:rPr>
          <w:i/>
          <w:lang w:val="nl-NL"/>
        </w:rPr>
      </w:pPr>
      <w:proofErr w:type="gramStart"/>
      <w:r w:rsidRPr="00A32388">
        <w:rPr>
          <w:i/>
          <w:lang w:val="nl-NL"/>
        </w:rPr>
        <w:t>wippreventie</w:t>
      </w:r>
      <w:proofErr w:type="gramEnd"/>
    </w:p>
    <w:p w14:paraId="5536F8D9" w14:textId="77777777" w:rsidR="00C47177" w:rsidRPr="00A32388" w:rsidRDefault="00A32388">
      <w:pPr>
        <w:numPr>
          <w:ilvl w:val="0"/>
          <w:numId w:val="4"/>
        </w:numPr>
        <w:rPr>
          <w:lang w:val="nl-NL"/>
        </w:rPr>
      </w:pPr>
      <w:proofErr w:type="gramStart"/>
      <w:r w:rsidRPr="00A32388">
        <w:rPr>
          <w:i/>
          <w:lang w:val="nl-NL"/>
        </w:rPr>
        <w:t>bevestigingsgordel</w:t>
      </w:r>
      <w:proofErr w:type="gramEnd"/>
      <w:r w:rsidRPr="00A32388">
        <w:rPr>
          <w:i/>
          <w:lang w:val="nl-NL"/>
        </w:rPr>
        <w:t>(s)</w:t>
      </w:r>
    </w:p>
    <w:p w14:paraId="38F58AFA" w14:textId="77777777" w:rsidR="00C47177" w:rsidRPr="00A32388" w:rsidRDefault="00C47177">
      <w:pPr>
        <w:rPr>
          <w:lang w:val="nl-NL"/>
        </w:rPr>
      </w:pPr>
    </w:p>
    <w:p w14:paraId="3EE1731C" w14:textId="77777777" w:rsidR="00C47177" w:rsidRPr="00A32388" w:rsidRDefault="00A32388">
      <w:pPr>
        <w:rPr>
          <w:lang w:val="nl-NL"/>
        </w:rPr>
      </w:pPr>
      <w:r w:rsidRPr="00A32388">
        <w:rPr>
          <w:lang w:val="nl-NL"/>
        </w:rPr>
        <w:t>De doelgroep voor de onruststoel is:</w:t>
      </w:r>
    </w:p>
    <w:p w14:paraId="6A09CE4A" w14:textId="77777777" w:rsidR="00C47177" w:rsidRPr="00A32388" w:rsidRDefault="00C47177">
      <w:pPr>
        <w:rPr>
          <w:lang w:val="nl-NL"/>
        </w:rPr>
      </w:pPr>
    </w:p>
    <w:p w14:paraId="153BD3EA" w14:textId="77777777" w:rsidR="00C47177" w:rsidRPr="00A32388" w:rsidRDefault="00A32388">
      <w:pPr>
        <w:rPr>
          <w:lang w:val="nl-NL"/>
        </w:rPr>
      </w:pPr>
      <w:r w:rsidRPr="00A32388">
        <w:rPr>
          <w:lang w:val="nl-NL"/>
        </w:rPr>
        <w:t>Personen met een verstandelijke handicap of met ernstige stoornissen van de mentale functies</w:t>
      </w:r>
    </w:p>
    <w:p w14:paraId="333D621E" w14:textId="77777777" w:rsidR="00C47177" w:rsidRPr="00A32388" w:rsidRDefault="00A32388">
      <w:pPr>
        <w:numPr>
          <w:ilvl w:val="0"/>
          <w:numId w:val="6"/>
        </w:numPr>
        <w:rPr>
          <w:lang w:val="nl-NL"/>
        </w:rPr>
      </w:pPr>
      <w:proofErr w:type="gramStart"/>
      <w:r w:rsidRPr="00A32388">
        <w:rPr>
          <w:lang w:val="nl-NL"/>
        </w:rPr>
        <w:t>die</w:t>
      </w:r>
      <w:proofErr w:type="gramEnd"/>
      <w:r w:rsidRPr="00A32388">
        <w:rPr>
          <w:lang w:val="nl-NL"/>
        </w:rPr>
        <w:t xml:space="preserve"> vrijwel dagelijks nood hebben aan fysieke begrenzing of structuur of die geen inzicht hebben in gevaar waardoor onveilige</w:t>
      </w:r>
      <w:r w:rsidRPr="00A32388">
        <w:rPr>
          <w:lang w:val="nl-NL"/>
        </w:rPr>
        <w:t xml:space="preserve"> situaties dreigen;</w:t>
      </w:r>
    </w:p>
    <w:p w14:paraId="54E9F5E2" w14:textId="77777777" w:rsidR="00C47177" w:rsidRPr="00A32388" w:rsidRDefault="00A32388">
      <w:pPr>
        <w:numPr>
          <w:ilvl w:val="0"/>
          <w:numId w:val="6"/>
        </w:numPr>
        <w:rPr>
          <w:lang w:val="nl-NL"/>
        </w:rPr>
      </w:pPr>
      <w:proofErr w:type="gramStart"/>
      <w:r w:rsidRPr="00A32388">
        <w:rPr>
          <w:lang w:val="nl-NL"/>
        </w:rPr>
        <w:t>die</w:t>
      </w:r>
      <w:proofErr w:type="gramEnd"/>
      <w:r w:rsidRPr="00A32388">
        <w:rPr>
          <w:lang w:val="nl-NL"/>
        </w:rPr>
        <w:t xml:space="preserve"> ongewenst gedrag stellen (bv. automutilatie, agressie, wegloopgedrag, smeergedrag, plukgedrag, ernstige motorische onrust …) of snel overprikkeld raken;</w:t>
      </w:r>
    </w:p>
    <w:p w14:paraId="2E8AC8E7" w14:textId="77777777" w:rsidR="00C47177" w:rsidRPr="00A32388" w:rsidRDefault="00A32388">
      <w:pPr>
        <w:numPr>
          <w:ilvl w:val="0"/>
          <w:numId w:val="6"/>
        </w:numPr>
        <w:rPr>
          <w:lang w:val="nl-NL"/>
        </w:rPr>
      </w:pPr>
      <w:proofErr w:type="gramStart"/>
      <w:r w:rsidRPr="00A32388">
        <w:rPr>
          <w:lang w:val="nl-NL"/>
        </w:rPr>
        <w:t>voor</w:t>
      </w:r>
      <w:proofErr w:type="gramEnd"/>
      <w:r w:rsidRPr="00A32388">
        <w:rPr>
          <w:lang w:val="nl-NL"/>
        </w:rPr>
        <w:t xml:space="preserve"> wie alternatieven zoals therapie, aangepaste begeleiding, het behandelen v</w:t>
      </w:r>
      <w:r w:rsidRPr="00A32388">
        <w:rPr>
          <w:lang w:val="nl-NL"/>
        </w:rPr>
        <w:t>an een onderliggende lichamelijke oorzaak (bv. pijn, honger, medicatie …), het optimaliseren van omgevingsfactoren en goedkopere hulpmiddelen (zoals een verzwaringsdeken of een drukvest) niet voldoen.</w:t>
      </w:r>
    </w:p>
    <w:p w14:paraId="1D4A0BAE" w14:textId="77777777" w:rsidR="00C47177" w:rsidRPr="00A32388" w:rsidRDefault="00C47177">
      <w:pPr>
        <w:rPr>
          <w:lang w:val="nl-NL"/>
        </w:rPr>
      </w:pPr>
    </w:p>
    <w:p w14:paraId="3CAEC9CF" w14:textId="77777777" w:rsidR="00C47177" w:rsidRPr="00A32388" w:rsidRDefault="00A32388">
      <w:pPr>
        <w:rPr>
          <w:lang w:val="nl-NL"/>
        </w:rPr>
      </w:pPr>
      <w:r w:rsidRPr="00A32388">
        <w:rPr>
          <w:lang w:val="nl-NL"/>
        </w:rPr>
        <w:t xml:space="preserve"> </w:t>
      </w:r>
    </w:p>
    <w:p w14:paraId="1880DB80" w14:textId="77777777" w:rsidR="00C47177" w:rsidRPr="00A32388" w:rsidRDefault="00A32388">
      <w:pPr>
        <w:pStyle w:val="Kop3"/>
        <w:widowControl w:val="0"/>
        <w:numPr>
          <w:ilvl w:val="0"/>
          <w:numId w:val="2"/>
        </w:numPr>
        <w:spacing w:line="360" w:lineRule="auto"/>
        <w:ind w:left="566"/>
        <w:rPr>
          <w:lang w:val="nl-NL"/>
        </w:rPr>
      </w:pPr>
      <w:bookmarkStart w:id="7" w:name="_k3bvdrhy0ekg" w:colFirst="0" w:colLast="0"/>
      <w:bookmarkEnd w:id="7"/>
      <w:r w:rsidRPr="00A32388">
        <w:rPr>
          <w:lang w:val="nl-NL"/>
        </w:rPr>
        <w:t>Communicatie</w:t>
      </w:r>
    </w:p>
    <w:p w14:paraId="2271740D" w14:textId="77777777" w:rsidR="00C47177" w:rsidRPr="00A32388" w:rsidRDefault="00A32388">
      <w:pPr>
        <w:pStyle w:val="Kop3"/>
        <w:numPr>
          <w:ilvl w:val="1"/>
          <w:numId w:val="2"/>
        </w:numPr>
        <w:ind w:left="708" w:hanging="285"/>
        <w:rPr>
          <w:lang w:val="nl-NL"/>
        </w:rPr>
      </w:pPr>
      <w:bookmarkStart w:id="8" w:name="_gipmbqj8od9" w:colFirst="0" w:colLast="0"/>
      <w:bookmarkEnd w:id="8"/>
      <w:r w:rsidRPr="00A32388">
        <w:rPr>
          <w:lang w:val="nl-NL"/>
        </w:rPr>
        <w:t>Communicatietoestellen &gt; Aanvulling bij</w:t>
      </w:r>
      <w:r w:rsidRPr="00A32388">
        <w:rPr>
          <w:lang w:val="nl-NL"/>
        </w:rPr>
        <w:t xml:space="preserve"> dynamische systemen en draagbare computer gebruikt als communicatietoestel &gt; Woordenschat</w:t>
      </w:r>
    </w:p>
    <w:p w14:paraId="757DD330" w14:textId="77777777" w:rsidR="00C47177" w:rsidRPr="00A32388" w:rsidRDefault="00C47177">
      <w:pPr>
        <w:rPr>
          <w:u w:val="single"/>
          <w:lang w:val="nl-NL"/>
        </w:rPr>
      </w:pPr>
    </w:p>
    <w:p w14:paraId="771BC8AD" w14:textId="77777777" w:rsidR="00C47177" w:rsidRPr="00A32388" w:rsidRDefault="00A32388">
      <w:pPr>
        <w:rPr>
          <w:lang w:val="nl-NL"/>
        </w:rPr>
      </w:pPr>
      <w:r w:rsidRPr="00A32388">
        <w:rPr>
          <w:b/>
          <w:lang w:val="nl-NL"/>
        </w:rPr>
        <w:t>Aanpassing</w:t>
      </w:r>
      <w:r w:rsidRPr="00A32388">
        <w:rPr>
          <w:lang w:val="nl-NL"/>
        </w:rPr>
        <w:t xml:space="preserve">: nieuwe rubriek </w:t>
      </w:r>
    </w:p>
    <w:p w14:paraId="7FEE98F1" w14:textId="77777777" w:rsidR="00C47177" w:rsidRPr="00A32388" w:rsidRDefault="00C47177">
      <w:pPr>
        <w:rPr>
          <w:lang w:val="nl-NL"/>
        </w:rPr>
      </w:pPr>
    </w:p>
    <w:p w14:paraId="7F6E5EBE" w14:textId="77777777" w:rsidR="00C47177" w:rsidRPr="00A32388" w:rsidRDefault="00A32388">
      <w:pPr>
        <w:rPr>
          <w:lang w:val="nl-NL"/>
        </w:rPr>
      </w:pPr>
      <w:r w:rsidRPr="00A32388">
        <w:rPr>
          <w:lang w:val="nl-NL"/>
        </w:rPr>
        <w:t>Er wordt een nieuw refertebedrag van 593,60 euro voor een woordenschat als aanvulling bij een dynamisch communicatietoestel of een draa</w:t>
      </w:r>
      <w:r w:rsidRPr="00A32388">
        <w:rPr>
          <w:lang w:val="nl-NL"/>
        </w:rPr>
        <w:t>gbare computer gebruikt als communicatietoestel opgenomen in de refertelijst. Net zoals andere aanvullingen, zal een woordenschat als onderdeel van een configuratie met een dynamisch communicatietoestel kunnen worden aangevraagd. De refertetermijn is 5 jaa</w:t>
      </w:r>
      <w:r w:rsidRPr="00A32388">
        <w:rPr>
          <w:lang w:val="nl-NL"/>
        </w:rPr>
        <w:t>r. Daardoor moeten dergelijke vergoedingen niet langer aan de bijzondere bijstandscommissie voorgelegd worden.</w:t>
      </w:r>
    </w:p>
    <w:p w14:paraId="48358F57" w14:textId="77777777" w:rsidR="00C47177" w:rsidRPr="00A32388" w:rsidRDefault="00C47177">
      <w:pPr>
        <w:rPr>
          <w:lang w:val="nl-NL"/>
        </w:rPr>
      </w:pPr>
    </w:p>
    <w:p w14:paraId="49C8E13C" w14:textId="77777777" w:rsidR="00C47177" w:rsidRPr="00A32388" w:rsidRDefault="00A32388">
      <w:pPr>
        <w:rPr>
          <w:lang w:val="nl-NL"/>
        </w:rPr>
      </w:pPr>
      <w:r w:rsidRPr="00A32388">
        <w:rPr>
          <w:lang w:val="nl-NL"/>
        </w:rPr>
        <w:t>De bedoelde woordenschat is:</w:t>
      </w:r>
    </w:p>
    <w:p w14:paraId="3A759277" w14:textId="77777777" w:rsidR="00C47177" w:rsidRPr="00A32388" w:rsidRDefault="00A32388">
      <w:pPr>
        <w:numPr>
          <w:ilvl w:val="0"/>
          <w:numId w:val="3"/>
        </w:numPr>
        <w:rPr>
          <w:i/>
          <w:lang w:val="nl-NL"/>
        </w:rPr>
      </w:pPr>
      <w:r w:rsidRPr="00A32388">
        <w:rPr>
          <w:i/>
          <w:lang w:val="nl-NL"/>
        </w:rPr>
        <w:t>“</w:t>
      </w:r>
      <w:proofErr w:type="gramStart"/>
      <w:r w:rsidRPr="00A32388">
        <w:rPr>
          <w:i/>
          <w:lang w:val="nl-NL"/>
        </w:rPr>
        <w:t>een</w:t>
      </w:r>
      <w:proofErr w:type="gramEnd"/>
      <w:r w:rsidRPr="00A32388">
        <w:rPr>
          <w:i/>
          <w:lang w:val="nl-NL"/>
        </w:rPr>
        <w:t xml:space="preserve"> kant-en-klaar communicatiebestand dat op een dynamisch communicatietoestel of op een draagbare computer geïnst</w:t>
      </w:r>
      <w:r w:rsidRPr="00A32388">
        <w:rPr>
          <w:i/>
          <w:lang w:val="nl-NL"/>
        </w:rPr>
        <w:t>alleerd kan worden;</w:t>
      </w:r>
    </w:p>
    <w:p w14:paraId="4B80A6A3" w14:textId="77777777" w:rsidR="00C47177" w:rsidRPr="00A32388" w:rsidRDefault="00A32388">
      <w:pPr>
        <w:numPr>
          <w:ilvl w:val="0"/>
          <w:numId w:val="3"/>
        </w:numPr>
        <w:rPr>
          <w:i/>
          <w:lang w:val="nl-NL"/>
        </w:rPr>
      </w:pPr>
      <w:proofErr w:type="gramStart"/>
      <w:r w:rsidRPr="00A32388">
        <w:rPr>
          <w:i/>
          <w:lang w:val="nl-NL"/>
        </w:rPr>
        <w:t>aanpasbaar</w:t>
      </w:r>
      <w:proofErr w:type="gramEnd"/>
      <w:r w:rsidRPr="00A32388">
        <w:rPr>
          <w:i/>
          <w:lang w:val="nl-NL"/>
        </w:rPr>
        <w:t xml:space="preserve"> en </w:t>
      </w:r>
      <w:proofErr w:type="spellStart"/>
      <w:r w:rsidRPr="00A32388">
        <w:rPr>
          <w:i/>
          <w:lang w:val="nl-NL"/>
        </w:rPr>
        <w:t>personaliseerbaar</w:t>
      </w:r>
      <w:proofErr w:type="spellEnd"/>
      <w:r w:rsidRPr="00A32388">
        <w:rPr>
          <w:i/>
          <w:lang w:val="nl-NL"/>
        </w:rPr>
        <w:t xml:space="preserve"> naar de communicatieve noden en behoeften van de gebruiker;</w:t>
      </w:r>
    </w:p>
    <w:p w14:paraId="21859907" w14:textId="77777777" w:rsidR="00C47177" w:rsidRPr="00A32388" w:rsidRDefault="00A32388">
      <w:pPr>
        <w:numPr>
          <w:ilvl w:val="0"/>
          <w:numId w:val="3"/>
        </w:numPr>
        <w:rPr>
          <w:i/>
          <w:lang w:val="nl-NL"/>
        </w:rPr>
      </w:pPr>
      <w:proofErr w:type="gramStart"/>
      <w:r w:rsidRPr="00A32388">
        <w:rPr>
          <w:i/>
          <w:lang w:val="nl-NL"/>
        </w:rPr>
        <w:t>opgebouwd</w:t>
      </w:r>
      <w:proofErr w:type="gramEnd"/>
      <w:r w:rsidRPr="00A32388">
        <w:rPr>
          <w:i/>
          <w:lang w:val="nl-NL"/>
        </w:rPr>
        <w:t xml:space="preserve"> uit tekst of symbolen.</w:t>
      </w:r>
      <w:r w:rsidRPr="00A32388">
        <w:rPr>
          <w:lang w:val="nl-NL"/>
        </w:rPr>
        <w:t>”</w:t>
      </w:r>
    </w:p>
    <w:p w14:paraId="1D4C64E8" w14:textId="77777777" w:rsidR="00C47177" w:rsidRPr="00A32388" w:rsidRDefault="00C47177">
      <w:pPr>
        <w:rPr>
          <w:lang w:val="nl-NL"/>
        </w:rPr>
      </w:pPr>
    </w:p>
    <w:p w14:paraId="16C7D713" w14:textId="77777777" w:rsidR="00C47177" w:rsidRPr="00A32388" w:rsidRDefault="00A32388">
      <w:pPr>
        <w:rPr>
          <w:lang w:val="nl-NL"/>
        </w:rPr>
      </w:pPr>
      <w:r w:rsidRPr="00A32388">
        <w:rPr>
          <w:lang w:val="nl-NL"/>
        </w:rPr>
        <w:t>De woordenschat is bestemd voor:</w:t>
      </w:r>
    </w:p>
    <w:p w14:paraId="0B92AFA0" w14:textId="77777777" w:rsidR="00C47177" w:rsidRPr="00A32388" w:rsidRDefault="00C47177">
      <w:pPr>
        <w:rPr>
          <w:lang w:val="nl-NL"/>
        </w:rPr>
      </w:pPr>
    </w:p>
    <w:p w14:paraId="156837B0" w14:textId="77777777" w:rsidR="00C47177" w:rsidRPr="00A32388" w:rsidRDefault="00A32388">
      <w:pPr>
        <w:rPr>
          <w:lang w:val="nl-NL"/>
        </w:rPr>
      </w:pPr>
      <w:r w:rsidRPr="00A32388">
        <w:rPr>
          <w:lang w:val="nl-NL"/>
        </w:rPr>
        <w:t>Personen met een ernstige communicatieve beperking</w:t>
      </w:r>
    </w:p>
    <w:p w14:paraId="5A2D1501" w14:textId="77777777" w:rsidR="00C47177" w:rsidRPr="00A32388" w:rsidRDefault="00A32388">
      <w:pPr>
        <w:numPr>
          <w:ilvl w:val="0"/>
          <w:numId w:val="9"/>
        </w:numPr>
        <w:rPr>
          <w:lang w:val="nl-NL"/>
        </w:rPr>
      </w:pPr>
      <w:proofErr w:type="gramStart"/>
      <w:r w:rsidRPr="00A32388">
        <w:rPr>
          <w:lang w:val="nl-NL"/>
        </w:rPr>
        <w:t>die</w:t>
      </w:r>
      <w:proofErr w:type="gramEnd"/>
      <w:r w:rsidRPr="00A32388">
        <w:rPr>
          <w:lang w:val="nl-NL"/>
        </w:rPr>
        <w:t xml:space="preserve"> behoren tot de doelgroep van gebruikers van een dynamisch communicatietoestel of de doelgroep van gebruikers van communicatiesoftware;</w:t>
      </w:r>
    </w:p>
    <w:p w14:paraId="0E8BBECD" w14:textId="77777777" w:rsidR="00C47177" w:rsidRPr="00A32388" w:rsidRDefault="00A32388">
      <w:pPr>
        <w:numPr>
          <w:ilvl w:val="0"/>
          <w:numId w:val="9"/>
        </w:numPr>
        <w:rPr>
          <w:lang w:val="nl-NL"/>
        </w:rPr>
      </w:pPr>
      <w:proofErr w:type="gramStart"/>
      <w:r w:rsidRPr="00A32388">
        <w:rPr>
          <w:lang w:val="nl-NL"/>
        </w:rPr>
        <w:t>voor</w:t>
      </w:r>
      <w:proofErr w:type="gramEnd"/>
      <w:r w:rsidRPr="00A32388">
        <w:rPr>
          <w:lang w:val="nl-NL"/>
        </w:rPr>
        <w:t xml:space="preserve"> wie alleen uitgebreide communicatiesoftware niet volstaat om </w:t>
      </w:r>
      <w:r w:rsidRPr="00A32388">
        <w:rPr>
          <w:lang w:val="nl-NL"/>
        </w:rPr>
        <w:t>functioneel te communiceren;</w:t>
      </w:r>
    </w:p>
    <w:p w14:paraId="2223867B" w14:textId="77777777" w:rsidR="00C47177" w:rsidRPr="00A32388" w:rsidRDefault="00A32388">
      <w:pPr>
        <w:numPr>
          <w:ilvl w:val="0"/>
          <w:numId w:val="9"/>
        </w:numPr>
        <w:rPr>
          <w:lang w:val="nl-NL"/>
        </w:rPr>
      </w:pPr>
      <w:proofErr w:type="gramStart"/>
      <w:r w:rsidRPr="00A32388">
        <w:rPr>
          <w:lang w:val="nl-NL"/>
        </w:rPr>
        <w:t>voor</w:t>
      </w:r>
      <w:proofErr w:type="gramEnd"/>
      <w:r w:rsidRPr="00A32388">
        <w:rPr>
          <w:lang w:val="nl-NL"/>
        </w:rPr>
        <w:t xml:space="preserve"> wie een woordenschat de functionele communicatiemogelijkheden gevoelig verbetert.</w:t>
      </w:r>
    </w:p>
    <w:p w14:paraId="47EAE584" w14:textId="77777777" w:rsidR="00C47177" w:rsidRPr="00A32388" w:rsidRDefault="00A32388">
      <w:pPr>
        <w:rPr>
          <w:lang w:val="nl-NL"/>
        </w:rPr>
      </w:pPr>
      <w:r w:rsidRPr="00A32388">
        <w:rPr>
          <w:lang w:val="nl-NL"/>
        </w:rPr>
        <w:t xml:space="preserve"> </w:t>
      </w:r>
    </w:p>
    <w:p w14:paraId="1973C1B6" w14:textId="77777777" w:rsidR="00C47177" w:rsidRPr="00A32388" w:rsidRDefault="00A32388">
      <w:pPr>
        <w:pStyle w:val="Kop3"/>
        <w:numPr>
          <w:ilvl w:val="1"/>
          <w:numId w:val="2"/>
        </w:numPr>
        <w:ind w:left="708" w:hanging="285"/>
        <w:rPr>
          <w:lang w:val="nl-NL"/>
        </w:rPr>
      </w:pPr>
      <w:bookmarkStart w:id="9" w:name="_qo8fctkycl07" w:colFirst="0" w:colLast="0"/>
      <w:bookmarkEnd w:id="9"/>
      <w:r w:rsidRPr="00A32388">
        <w:rPr>
          <w:lang w:val="nl-NL"/>
        </w:rPr>
        <w:lastRenderedPageBreak/>
        <w:t>Draadloos brailletoetsenbord voor smartphone</w:t>
      </w:r>
    </w:p>
    <w:p w14:paraId="08DB24E8" w14:textId="77777777" w:rsidR="00C47177" w:rsidRPr="00A32388" w:rsidRDefault="00C47177">
      <w:pPr>
        <w:rPr>
          <w:u w:val="single"/>
          <w:lang w:val="nl-NL"/>
        </w:rPr>
      </w:pPr>
    </w:p>
    <w:p w14:paraId="5A239E30" w14:textId="77777777" w:rsidR="00C47177" w:rsidRPr="00A32388" w:rsidRDefault="00A32388">
      <w:pPr>
        <w:rPr>
          <w:lang w:val="nl-NL"/>
        </w:rPr>
      </w:pPr>
      <w:r w:rsidRPr="00A32388">
        <w:rPr>
          <w:b/>
          <w:lang w:val="nl-NL"/>
        </w:rPr>
        <w:t>Aanpassing</w:t>
      </w:r>
      <w:r w:rsidRPr="00A32388">
        <w:rPr>
          <w:lang w:val="nl-NL"/>
        </w:rPr>
        <w:t>: nieuwe rubriek</w:t>
      </w:r>
    </w:p>
    <w:p w14:paraId="23788356" w14:textId="77777777" w:rsidR="00C47177" w:rsidRPr="00A32388" w:rsidRDefault="00C47177">
      <w:pPr>
        <w:rPr>
          <w:lang w:val="nl-NL"/>
        </w:rPr>
      </w:pPr>
    </w:p>
    <w:p w14:paraId="6153434C" w14:textId="77777777" w:rsidR="00C47177" w:rsidRPr="00A32388" w:rsidRDefault="00A32388">
      <w:pPr>
        <w:rPr>
          <w:lang w:val="nl-NL"/>
        </w:rPr>
      </w:pPr>
      <w:r w:rsidRPr="00A32388">
        <w:rPr>
          <w:lang w:val="nl-NL"/>
        </w:rPr>
        <w:t xml:space="preserve">Een draadloos brailletoetsenbord voor smartphone is een compact </w:t>
      </w:r>
      <w:r w:rsidRPr="00A32388">
        <w:rPr>
          <w:lang w:val="nl-NL"/>
        </w:rPr>
        <w:t xml:space="preserve">toetsenbord met brailletoetsen om tekst in te voeren en de smartphone te bedienen. </w:t>
      </w:r>
    </w:p>
    <w:p w14:paraId="52499845" w14:textId="77777777" w:rsidR="00C47177" w:rsidRPr="00A32388" w:rsidRDefault="00C47177">
      <w:pPr>
        <w:rPr>
          <w:lang w:val="nl-NL"/>
        </w:rPr>
      </w:pPr>
    </w:p>
    <w:p w14:paraId="6C636ADA" w14:textId="77777777" w:rsidR="00C47177" w:rsidRPr="00A32388" w:rsidRDefault="00A32388">
      <w:pPr>
        <w:rPr>
          <w:lang w:val="nl-NL"/>
        </w:rPr>
      </w:pPr>
      <w:r w:rsidRPr="00A32388">
        <w:rPr>
          <w:lang w:val="nl-NL"/>
        </w:rPr>
        <w:t xml:space="preserve">Het is bedoeld voor slechtzienden of blinden </w:t>
      </w:r>
    </w:p>
    <w:p w14:paraId="3D071A97" w14:textId="77777777" w:rsidR="00C47177" w:rsidRPr="00A32388" w:rsidRDefault="00A32388">
      <w:pPr>
        <w:numPr>
          <w:ilvl w:val="0"/>
          <w:numId w:val="10"/>
        </w:numPr>
        <w:rPr>
          <w:lang w:val="nl-NL"/>
        </w:rPr>
      </w:pPr>
      <w:proofErr w:type="gramStart"/>
      <w:r w:rsidRPr="00A32388">
        <w:rPr>
          <w:lang w:val="nl-NL"/>
        </w:rPr>
        <w:t>die</w:t>
      </w:r>
      <w:proofErr w:type="gramEnd"/>
      <w:r w:rsidRPr="00A32388">
        <w:rPr>
          <w:lang w:val="nl-NL"/>
        </w:rPr>
        <w:t xml:space="preserve"> een smartphone met aanraakscherm willen gebruiken en waarvoor eenvoudigere alternatieven, waaronder een mini azertytoetse</w:t>
      </w:r>
      <w:r w:rsidRPr="00A32388">
        <w:rPr>
          <w:lang w:val="nl-NL"/>
        </w:rPr>
        <w:t>nbord en een geïntegreerd brailletoetsenbord niet voldoen;</w:t>
      </w:r>
    </w:p>
    <w:p w14:paraId="5493F430" w14:textId="77777777" w:rsidR="00C47177" w:rsidRPr="00A32388" w:rsidRDefault="00A32388">
      <w:pPr>
        <w:numPr>
          <w:ilvl w:val="0"/>
          <w:numId w:val="10"/>
        </w:numPr>
        <w:rPr>
          <w:lang w:val="nl-NL"/>
        </w:rPr>
      </w:pPr>
      <w:proofErr w:type="gramStart"/>
      <w:r w:rsidRPr="00A32388">
        <w:rPr>
          <w:lang w:val="nl-NL"/>
        </w:rPr>
        <w:t>die</w:t>
      </w:r>
      <w:proofErr w:type="gramEnd"/>
      <w:r w:rsidRPr="00A32388">
        <w:rPr>
          <w:lang w:val="nl-NL"/>
        </w:rPr>
        <w:t xml:space="preserve"> het brailleschrift beheersen.</w:t>
      </w:r>
    </w:p>
    <w:p w14:paraId="4B0BAD67" w14:textId="77777777" w:rsidR="00C47177" w:rsidRPr="00A32388" w:rsidRDefault="00C47177">
      <w:pPr>
        <w:rPr>
          <w:lang w:val="nl-NL"/>
        </w:rPr>
      </w:pPr>
    </w:p>
    <w:p w14:paraId="1A082BB3" w14:textId="77777777" w:rsidR="00C47177" w:rsidRPr="00A32388" w:rsidRDefault="00C47177">
      <w:pPr>
        <w:rPr>
          <w:lang w:val="nl-NL"/>
        </w:rPr>
      </w:pPr>
    </w:p>
    <w:p w14:paraId="46813F5A" w14:textId="77777777" w:rsidR="00C47177" w:rsidRPr="00A32388" w:rsidRDefault="00A32388">
      <w:pPr>
        <w:rPr>
          <w:lang w:val="nl-NL"/>
        </w:rPr>
      </w:pPr>
      <w:r w:rsidRPr="00A32388">
        <w:rPr>
          <w:lang w:val="nl-NL"/>
        </w:rPr>
        <w:t xml:space="preserve">Het refertebedrag voor de nieuwe referterubriek is 249,00 euro en de refertetermijn bedraagt 4 jaar. </w:t>
      </w:r>
    </w:p>
    <w:p w14:paraId="67684AEA" w14:textId="77777777" w:rsidR="00C47177" w:rsidRPr="00A32388" w:rsidRDefault="00C47177">
      <w:pPr>
        <w:rPr>
          <w:lang w:val="nl-NL"/>
        </w:rPr>
      </w:pPr>
    </w:p>
    <w:p w14:paraId="270EF071" w14:textId="77777777" w:rsidR="00C47177" w:rsidRPr="00A32388" w:rsidRDefault="00A32388">
      <w:pPr>
        <w:pStyle w:val="Kop3"/>
        <w:numPr>
          <w:ilvl w:val="1"/>
          <w:numId w:val="2"/>
        </w:numPr>
        <w:ind w:left="708" w:hanging="285"/>
        <w:rPr>
          <w:lang w:val="nl-NL"/>
        </w:rPr>
      </w:pPr>
      <w:bookmarkStart w:id="10" w:name="_std3qmfvfdao" w:colFirst="0" w:colLast="0"/>
      <w:bookmarkEnd w:id="10"/>
      <w:r w:rsidRPr="00A32388">
        <w:rPr>
          <w:lang w:val="nl-NL"/>
        </w:rPr>
        <w:t>Draadloos toetsenbord met grote en contrastrijke opschriften voor tablet</w:t>
      </w:r>
    </w:p>
    <w:p w14:paraId="032AD514" w14:textId="77777777" w:rsidR="00C47177" w:rsidRPr="00A32388" w:rsidRDefault="00C47177">
      <w:pPr>
        <w:rPr>
          <w:u w:val="single"/>
          <w:lang w:val="nl-NL"/>
        </w:rPr>
      </w:pPr>
    </w:p>
    <w:p w14:paraId="1D3D1252" w14:textId="77777777" w:rsidR="00C47177" w:rsidRPr="00A32388" w:rsidRDefault="00A32388">
      <w:pPr>
        <w:rPr>
          <w:lang w:val="nl-NL"/>
        </w:rPr>
      </w:pPr>
      <w:r w:rsidRPr="00A32388">
        <w:rPr>
          <w:b/>
          <w:lang w:val="nl-NL"/>
        </w:rPr>
        <w:t>Aanpassing</w:t>
      </w:r>
      <w:r w:rsidRPr="00A32388">
        <w:rPr>
          <w:lang w:val="nl-NL"/>
        </w:rPr>
        <w:t>: aanpassing titel rubriek; aanpassing eenvoudige aanvraag; aanpassin</w:t>
      </w:r>
      <w:r w:rsidRPr="00A32388">
        <w:rPr>
          <w:lang w:val="nl-NL"/>
        </w:rPr>
        <w:t>g rubriek</w:t>
      </w:r>
    </w:p>
    <w:p w14:paraId="4AF49428" w14:textId="77777777" w:rsidR="00C47177" w:rsidRPr="00A32388" w:rsidRDefault="00C47177">
      <w:pPr>
        <w:rPr>
          <w:lang w:val="nl-NL"/>
        </w:rPr>
      </w:pPr>
    </w:p>
    <w:p w14:paraId="23E48E23" w14:textId="77777777" w:rsidR="00C47177" w:rsidRPr="00A32388" w:rsidRDefault="00A32388">
      <w:pPr>
        <w:rPr>
          <w:lang w:val="nl-NL"/>
        </w:rPr>
      </w:pPr>
      <w:r w:rsidRPr="00A32388">
        <w:rPr>
          <w:lang w:val="nl-NL"/>
        </w:rPr>
        <w:t xml:space="preserve">Deze referterubriek wordt als zelfstandige rubriek voorzien in plaats van als aanvulling bij een tablet. De benaming van de rubriek wordt daarom gewijzigd in 'Draadloos toetsenbord met grote en contrastrijke opschriften voor tablet'. </w:t>
      </w:r>
    </w:p>
    <w:p w14:paraId="122D92C2" w14:textId="77777777" w:rsidR="00C47177" w:rsidRPr="00A32388" w:rsidRDefault="00C47177">
      <w:pPr>
        <w:rPr>
          <w:lang w:val="nl-NL"/>
        </w:rPr>
      </w:pPr>
    </w:p>
    <w:p w14:paraId="7963DF3C" w14:textId="77777777" w:rsidR="00C47177" w:rsidRPr="00A32388" w:rsidRDefault="00A32388">
      <w:pPr>
        <w:rPr>
          <w:lang w:val="nl-NL"/>
        </w:rPr>
      </w:pPr>
      <w:r w:rsidRPr="00A32388">
        <w:rPr>
          <w:lang w:val="nl-NL"/>
        </w:rPr>
        <w:t>Door voor deze rubri</w:t>
      </w:r>
      <w:r w:rsidRPr="00A32388">
        <w:rPr>
          <w:lang w:val="nl-NL"/>
        </w:rPr>
        <w:t xml:space="preserve">ek een eenvoudige aanvraag mogelijk te maken, zoals voor het toetsenbord bij de computer en bij de smartphone, worden de aanvragen voor toetsenborden </w:t>
      </w:r>
      <w:proofErr w:type="spellStart"/>
      <w:r w:rsidRPr="00A32388">
        <w:rPr>
          <w:lang w:val="nl-NL"/>
        </w:rPr>
        <w:t>geüniformiseerd</w:t>
      </w:r>
      <w:proofErr w:type="spellEnd"/>
      <w:r w:rsidRPr="00A32388">
        <w:rPr>
          <w:lang w:val="nl-NL"/>
        </w:rPr>
        <w:t>.</w:t>
      </w:r>
    </w:p>
    <w:p w14:paraId="0777FAEF" w14:textId="77777777" w:rsidR="00C47177" w:rsidRPr="00A32388" w:rsidRDefault="00A32388">
      <w:pPr>
        <w:rPr>
          <w:lang w:val="nl-NL"/>
        </w:rPr>
      </w:pPr>
      <w:r w:rsidRPr="00A32388">
        <w:rPr>
          <w:lang w:val="nl-NL"/>
        </w:rPr>
        <w:t xml:space="preserve"> </w:t>
      </w:r>
    </w:p>
    <w:p w14:paraId="20E2594D" w14:textId="77777777" w:rsidR="00C47177" w:rsidRPr="00A32388" w:rsidRDefault="00A32388">
      <w:pPr>
        <w:pStyle w:val="Kop3"/>
        <w:widowControl w:val="0"/>
        <w:numPr>
          <w:ilvl w:val="0"/>
          <w:numId w:val="2"/>
        </w:numPr>
        <w:spacing w:line="360" w:lineRule="auto"/>
        <w:ind w:left="566"/>
        <w:rPr>
          <w:lang w:val="nl-NL"/>
        </w:rPr>
      </w:pPr>
      <w:bookmarkStart w:id="11" w:name="_7tox8u7zs026" w:colFirst="0" w:colLast="0"/>
      <w:bookmarkEnd w:id="11"/>
      <w:r w:rsidRPr="00A32388">
        <w:rPr>
          <w:lang w:val="nl-NL"/>
        </w:rPr>
        <w:t>Mobiliteit</w:t>
      </w:r>
    </w:p>
    <w:p w14:paraId="26889479" w14:textId="77777777" w:rsidR="00C47177" w:rsidRPr="00A32388" w:rsidRDefault="00A32388">
      <w:pPr>
        <w:pStyle w:val="Kop3"/>
        <w:numPr>
          <w:ilvl w:val="1"/>
          <w:numId w:val="2"/>
        </w:numPr>
        <w:ind w:left="708" w:hanging="285"/>
        <w:rPr>
          <w:lang w:val="nl-NL"/>
        </w:rPr>
      </w:pPr>
      <w:bookmarkStart w:id="12" w:name="_15ulkcc615p3" w:colFirst="0" w:colLast="0"/>
      <w:bookmarkEnd w:id="12"/>
      <w:r w:rsidRPr="00A32388">
        <w:rPr>
          <w:lang w:val="nl-NL"/>
        </w:rPr>
        <w:t>Aanpassing auto: Gecombineerd, met een hand bediend bedrijfsrem- en accelera</w:t>
      </w:r>
      <w:r w:rsidRPr="00A32388">
        <w:rPr>
          <w:lang w:val="nl-NL"/>
        </w:rPr>
        <w:t>tiesysteem</w:t>
      </w:r>
    </w:p>
    <w:p w14:paraId="60B4B3F5" w14:textId="77777777" w:rsidR="00C47177" w:rsidRPr="00A32388" w:rsidRDefault="00C47177">
      <w:pPr>
        <w:rPr>
          <w:u w:val="single"/>
          <w:lang w:val="nl-NL"/>
        </w:rPr>
      </w:pPr>
    </w:p>
    <w:p w14:paraId="0F689B38" w14:textId="77777777" w:rsidR="00C47177" w:rsidRPr="00A32388" w:rsidRDefault="00A32388">
      <w:pPr>
        <w:rPr>
          <w:b/>
          <w:lang w:val="nl-NL"/>
        </w:rPr>
      </w:pPr>
      <w:r w:rsidRPr="00A32388">
        <w:rPr>
          <w:b/>
          <w:lang w:val="nl-NL"/>
        </w:rPr>
        <w:t xml:space="preserve">Aanpassing: </w:t>
      </w:r>
      <w:r w:rsidRPr="00A32388">
        <w:rPr>
          <w:lang w:val="nl-NL"/>
        </w:rPr>
        <w:t>aanpassing doelgroep</w:t>
      </w:r>
    </w:p>
    <w:p w14:paraId="3B176552" w14:textId="77777777" w:rsidR="00C47177" w:rsidRPr="00A32388" w:rsidRDefault="00C47177">
      <w:pPr>
        <w:rPr>
          <w:b/>
          <w:lang w:val="nl-NL"/>
        </w:rPr>
      </w:pPr>
    </w:p>
    <w:p w14:paraId="0B96DA8D" w14:textId="77777777" w:rsidR="00C47177" w:rsidRPr="00A32388" w:rsidRDefault="00A32388">
      <w:pPr>
        <w:rPr>
          <w:lang w:val="nl-NL"/>
        </w:rPr>
      </w:pPr>
      <w:r w:rsidRPr="00A32388">
        <w:rPr>
          <w:lang w:val="nl-NL"/>
        </w:rPr>
        <w:t xml:space="preserve">Personen die de CARA-codes ‘25.04 handmatig gas geven’ én ‘20.06 handbediende rem' hebben gekregen, kunnen kiezen voor twee aparte systemen of voor een gecombineerd systeem met een </w:t>
      </w:r>
      <w:proofErr w:type="gramStart"/>
      <w:r w:rsidRPr="00A32388">
        <w:rPr>
          <w:lang w:val="nl-NL"/>
        </w:rPr>
        <w:t>handbediende</w:t>
      </w:r>
      <w:proofErr w:type="gramEnd"/>
      <w:r w:rsidRPr="00A32388">
        <w:rPr>
          <w:lang w:val="nl-NL"/>
        </w:rPr>
        <w:t xml:space="preserve"> gas en een handb</w:t>
      </w:r>
      <w:r w:rsidRPr="00A32388">
        <w:rPr>
          <w:lang w:val="nl-NL"/>
        </w:rPr>
        <w:t xml:space="preserve">ediende rem in één systeem. In de hulpmiddelenfiche wordt daarom de volgende doelgroep toegevoegd: </w:t>
      </w:r>
    </w:p>
    <w:p w14:paraId="354B0BF2" w14:textId="77777777" w:rsidR="00C47177" w:rsidRPr="00A32388" w:rsidRDefault="00A32388">
      <w:pPr>
        <w:rPr>
          <w:lang w:val="nl-NL"/>
        </w:rPr>
      </w:pPr>
      <w:r w:rsidRPr="00A32388">
        <w:rPr>
          <w:lang w:val="nl-NL"/>
        </w:rPr>
        <w:t>Personen met een matig, ernstig of volledig functieverlies in een of beide onderste ledematen</w:t>
      </w:r>
    </w:p>
    <w:p w14:paraId="1B1609A6" w14:textId="77777777" w:rsidR="00C47177" w:rsidRPr="00A32388" w:rsidRDefault="00A32388">
      <w:pPr>
        <w:numPr>
          <w:ilvl w:val="0"/>
          <w:numId w:val="7"/>
        </w:numPr>
        <w:rPr>
          <w:lang w:val="nl-NL"/>
        </w:rPr>
      </w:pPr>
      <w:proofErr w:type="gramStart"/>
      <w:r w:rsidRPr="00A32388">
        <w:rPr>
          <w:lang w:val="nl-NL"/>
        </w:rPr>
        <w:t>die</w:t>
      </w:r>
      <w:proofErr w:type="gramEnd"/>
      <w:r w:rsidRPr="00A32388">
        <w:rPr>
          <w:lang w:val="nl-NL"/>
        </w:rPr>
        <w:t xml:space="preserve"> zich vrijwel wekelijks zelfstandig met de auto verplaatsen</w:t>
      </w:r>
      <w:r w:rsidRPr="00A32388">
        <w:rPr>
          <w:lang w:val="nl-NL"/>
        </w:rPr>
        <w:t>;</w:t>
      </w:r>
    </w:p>
    <w:p w14:paraId="377CEAC4" w14:textId="77777777" w:rsidR="00C47177" w:rsidRPr="00A32388" w:rsidRDefault="00A32388">
      <w:pPr>
        <w:numPr>
          <w:ilvl w:val="0"/>
          <w:numId w:val="7"/>
        </w:numPr>
        <w:rPr>
          <w:lang w:val="nl-NL"/>
        </w:rPr>
      </w:pPr>
      <w:proofErr w:type="gramStart"/>
      <w:r w:rsidRPr="00A32388">
        <w:rPr>
          <w:lang w:val="nl-NL"/>
        </w:rPr>
        <w:t>die</w:t>
      </w:r>
      <w:proofErr w:type="gramEnd"/>
      <w:r w:rsidRPr="00A32388">
        <w:rPr>
          <w:lang w:val="nl-NL"/>
        </w:rPr>
        <w:t xml:space="preserve"> beschikken over een geldig CARA-attest i.v.m. de rijgeschiktheid of een geldig rijbewijs met volgende vermelding</w:t>
      </w:r>
    </w:p>
    <w:p w14:paraId="4E47234A" w14:textId="77777777" w:rsidR="00C47177" w:rsidRPr="00A32388" w:rsidRDefault="00A32388">
      <w:pPr>
        <w:numPr>
          <w:ilvl w:val="1"/>
          <w:numId w:val="7"/>
        </w:numPr>
        <w:rPr>
          <w:lang w:val="nl-NL"/>
        </w:rPr>
      </w:pPr>
      <w:r w:rsidRPr="00A32388">
        <w:rPr>
          <w:lang w:val="nl-NL"/>
        </w:rPr>
        <w:t>25.04 handmatig gas geven en 20.06 handbediende rem</w:t>
      </w:r>
    </w:p>
    <w:p w14:paraId="1A21AFAB" w14:textId="77777777" w:rsidR="00C47177" w:rsidRPr="00A32388" w:rsidRDefault="00A32388">
      <w:pPr>
        <w:numPr>
          <w:ilvl w:val="0"/>
          <w:numId w:val="7"/>
        </w:numPr>
        <w:rPr>
          <w:lang w:val="nl-NL"/>
        </w:rPr>
      </w:pPr>
      <w:proofErr w:type="gramStart"/>
      <w:r w:rsidRPr="00A32388">
        <w:rPr>
          <w:lang w:val="nl-NL"/>
        </w:rPr>
        <w:t>die</w:t>
      </w:r>
      <w:proofErr w:type="gramEnd"/>
      <w:r w:rsidRPr="00A32388">
        <w:rPr>
          <w:lang w:val="nl-NL"/>
        </w:rPr>
        <w:t xml:space="preserve"> kiezen voor een gecombineerd, met één hand bediend bedrijfsrem- en acceleratiesys</w:t>
      </w:r>
      <w:r w:rsidRPr="00A32388">
        <w:rPr>
          <w:lang w:val="nl-NL"/>
        </w:rPr>
        <w:t>teem boven een afzonderlijke handbediende rem en handmatig gas geven</w:t>
      </w:r>
    </w:p>
    <w:p w14:paraId="195CE82C" w14:textId="77777777" w:rsidR="00C47177" w:rsidRPr="00A32388" w:rsidRDefault="00C47177">
      <w:pPr>
        <w:rPr>
          <w:lang w:val="nl-NL"/>
        </w:rPr>
      </w:pPr>
    </w:p>
    <w:p w14:paraId="1C43AA8A" w14:textId="77777777" w:rsidR="00C47177" w:rsidRPr="00A32388" w:rsidRDefault="00C47177">
      <w:pPr>
        <w:rPr>
          <w:lang w:val="nl-NL"/>
        </w:rPr>
      </w:pPr>
    </w:p>
    <w:p w14:paraId="6AF23FB4" w14:textId="77777777" w:rsidR="00C47177" w:rsidRPr="00A32388" w:rsidRDefault="00C47177">
      <w:pPr>
        <w:rPr>
          <w:u w:val="single"/>
          <w:lang w:val="nl-NL"/>
        </w:rPr>
      </w:pPr>
    </w:p>
    <w:p w14:paraId="6A82D8D8" w14:textId="77777777" w:rsidR="00C47177" w:rsidRPr="00A32388" w:rsidRDefault="00A32388">
      <w:pPr>
        <w:pStyle w:val="Kop3"/>
        <w:numPr>
          <w:ilvl w:val="1"/>
          <w:numId w:val="2"/>
        </w:numPr>
        <w:ind w:left="708" w:hanging="283"/>
        <w:rPr>
          <w:lang w:val="nl-NL"/>
        </w:rPr>
      </w:pPr>
      <w:bookmarkStart w:id="13" w:name="_8l18ob38xoh" w:colFirst="0" w:colLast="0"/>
      <w:bookmarkEnd w:id="13"/>
      <w:r w:rsidRPr="00A32388">
        <w:rPr>
          <w:lang w:val="nl-NL"/>
        </w:rPr>
        <w:t>Aanpassing auto: Gecombineerd, met externe kracht bediend bedrijfsrem- en acceleratiesysteem</w:t>
      </w:r>
    </w:p>
    <w:p w14:paraId="38C5CB6F" w14:textId="77777777" w:rsidR="00C47177" w:rsidRPr="00A32388" w:rsidRDefault="00C47177">
      <w:pPr>
        <w:rPr>
          <w:lang w:val="nl-NL"/>
        </w:rPr>
      </w:pPr>
    </w:p>
    <w:p w14:paraId="171A298F" w14:textId="77777777" w:rsidR="00C47177" w:rsidRPr="00A32388" w:rsidRDefault="00A32388">
      <w:pPr>
        <w:rPr>
          <w:lang w:val="nl-NL"/>
        </w:rPr>
      </w:pPr>
      <w:r w:rsidRPr="00A32388">
        <w:rPr>
          <w:b/>
          <w:lang w:val="nl-NL"/>
        </w:rPr>
        <w:t>Aanpassing</w:t>
      </w:r>
      <w:r w:rsidRPr="00A32388">
        <w:rPr>
          <w:lang w:val="nl-NL"/>
        </w:rPr>
        <w:t>: aanpassing doelgroep</w:t>
      </w:r>
    </w:p>
    <w:p w14:paraId="61B90A52" w14:textId="77777777" w:rsidR="00C47177" w:rsidRPr="00A32388" w:rsidRDefault="00C47177">
      <w:pPr>
        <w:rPr>
          <w:lang w:val="nl-NL"/>
        </w:rPr>
      </w:pPr>
    </w:p>
    <w:p w14:paraId="12CDCE8C" w14:textId="77777777" w:rsidR="00C47177" w:rsidRPr="00A32388" w:rsidRDefault="00A32388">
      <w:pPr>
        <w:rPr>
          <w:lang w:val="nl-NL"/>
        </w:rPr>
      </w:pPr>
      <w:r w:rsidRPr="00A32388">
        <w:rPr>
          <w:lang w:val="nl-NL"/>
        </w:rPr>
        <w:t>Personen die de CARA-</w:t>
      </w:r>
      <w:r w:rsidRPr="00A32388">
        <w:rPr>
          <w:i/>
          <w:lang w:val="nl-NL"/>
        </w:rPr>
        <w:t>codes</w:t>
      </w:r>
      <w:r w:rsidRPr="00A32388">
        <w:rPr>
          <w:lang w:val="nl-NL"/>
        </w:rPr>
        <w:t xml:space="preserve"> ‘25.06 gas geven ondersteund </w:t>
      </w:r>
      <w:r w:rsidRPr="00A32388">
        <w:rPr>
          <w:lang w:val="nl-NL"/>
        </w:rPr>
        <w:t>door externe kracht’ en ‘20.06 handbediende rem’ hebben gekregen, kunnen kiezen voor twee aparte systemen of voor een gecombineerd, met externe kracht bediend bedrijfsrem- en acceleratiesysteem.</w:t>
      </w:r>
    </w:p>
    <w:p w14:paraId="7C7993C4" w14:textId="77777777" w:rsidR="00C47177" w:rsidRPr="00A32388" w:rsidRDefault="00C47177">
      <w:pPr>
        <w:rPr>
          <w:lang w:val="nl-NL"/>
        </w:rPr>
      </w:pPr>
    </w:p>
    <w:p w14:paraId="5F26CE45" w14:textId="77777777" w:rsidR="00C47177" w:rsidRPr="00A32388" w:rsidRDefault="00A32388">
      <w:pPr>
        <w:rPr>
          <w:lang w:val="nl-NL"/>
        </w:rPr>
      </w:pPr>
      <w:r w:rsidRPr="00A32388">
        <w:rPr>
          <w:lang w:val="nl-NL"/>
        </w:rPr>
        <w:t xml:space="preserve">In de hulpmiddelenfiche wordt daarom de volgende doelgroep toegevoegd: </w:t>
      </w:r>
    </w:p>
    <w:p w14:paraId="6EC427DF" w14:textId="77777777" w:rsidR="00C47177" w:rsidRPr="00A32388" w:rsidRDefault="00A32388">
      <w:pPr>
        <w:rPr>
          <w:lang w:val="nl-NL"/>
        </w:rPr>
      </w:pPr>
      <w:r w:rsidRPr="00A32388">
        <w:rPr>
          <w:lang w:val="nl-NL"/>
        </w:rPr>
        <w:t>Personen met een matig, ernstig of volledig functieverlies in een of beide onderste ledematen</w:t>
      </w:r>
    </w:p>
    <w:p w14:paraId="763A8B0C" w14:textId="77777777" w:rsidR="00C47177" w:rsidRPr="00A32388" w:rsidRDefault="00A32388">
      <w:pPr>
        <w:numPr>
          <w:ilvl w:val="0"/>
          <w:numId w:val="1"/>
        </w:numPr>
        <w:rPr>
          <w:lang w:val="nl-NL"/>
        </w:rPr>
      </w:pPr>
      <w:proofErr w:type="gramStart"/>
      <w:r w:rsidRPr="00A32388">
        <w:rPr>
          <w:lang w:val="nl-NL"/>
        </w:rPr>
        <w:t>die</w:t>
      </w:r>
      <w:proofErr w:type="gramEnd"/>
      <w:r w:rsidRPr="00A32388">
        <w:rPr>
          <w:lang w:val="nl-NL"/>
        </w:rPr>
        <w:t xml:space="preserve"> zich vrijwel wekelijks zelfstandig met de auto verplaatsen;</w:t>
      </w:r>
    </w:p>
    <w:p w14:paraId="3EF54112" w14:textId="77777777" w:rsidR="00C47177" w:rsidRPr="00A32388" w:rsidRDefault="00A32388">
      <w:pPr>
        <w:numPr>
          <w:ilvl w:val="0"/>
          <w:numId w:val="1"/>
        </w:numPr>
        <w:rPr>
          <w:lang w:val="nl-NL"/>
        </w:rPr>
      </w:pPr>
      <w:proofErr w:type="gramStart"/>
      <w:r w:rsidRPr="00A32388">
        <w:rPr>
          <w:lang w:val="nl-NL"/>
        </w:rPr>
        <w:t>die</w:t>
      </w:r>
      <w:proofErr w:type="gramEnd"/>
      <w:r w:rsidRPr="00A32388">
        <w:rPr>
          <w:lang w:val="nl-NL"/>
        </w:rPr>
        <w:t xml:space="preserve"> beschikken over een ge</w:t>
      </w:r>
      <w:r w:rsidRPr="00A32388">
        <w:rPr>
          <w:lang w:val="nl-NL"/>
        </w:rPr>
        <w:t>ldig CARA-attest i.v.m. de rijgeschiktheid of een geldig rijbewijs met volgende vermelding</w:t>
      </w:r>
    </w:p>
    <w:p w14:paraId="61CE372A" w14:textId="77777777" w:rsidR="00C47177" w:rsidRPr="00A32388" w:rsidRDefault="00A32388">
      <w:pPr>
        <w:numPr>
          <w:ilvl w:val="1"/>
          <w:numId w:val="1"/>
        </w:numPr>
        <w:rPr>
          <w:lang w:val="nl-NL"/>
        </w:rPr>
      </w:pPr>
      <w:r w:rsidRPr="00A32388">
        <w:rPr>
          <w:lang w:val="nl-NL"/>
        </w:rPr>
        <w:t>25.06 gas geven ondersteund door externe kracht en 20.06 handbediende rem</w:t>
      </w:r>
    </w:p>
    <w:p w14:paraId="3F27281D" w14:textId="77777777" w:rsidR="00C47177" w:rsidRPr="00A32388" w:rsidRDefault="00A32388">
      <w:pPr>
        <w:numPr>
          <w:ilvl w:val="0"/>
          <w:numId w:val="1"/>
        </w:numPr>
        <w:rPr>
          <w:lang w:val="nl-NL"/>
        </w:rPr>
      </w:pPr>
      <w:proofErr w:type="gramStart"/>
      <w:r w:rsidRPr="00A32388">
        <w:rPr>
          <w:lang w:val="nl-NL"/>
        </w:rPr>
        <w:t>die</w:t>
      </w:r>
      <w:proofErr w:type="gramEnd"/>
      <w:r w:rsidRPr="00A32388">
        <w:rPr>
          <w:lang w:val="nl-NL"/>
        </w:rPr>
        <w:t xml:space="preserve"> kiezen voor een gecombineerd, met externe kracht bediend bedrijfsrem- en acceleratiesys</w:t>
      </w:r>
      <w:r w:rsidRPr="00A32388">
        <w:rPr>
          <w:lang w:val="nl-NL"/>
        </w:rPr>
        <w:t>teem boven een afzonderlijke handbediende rem en gas geven door externe kracht.</w:t>
      </w:r>
    </w:p>
    <w:p w14:paraId="5C3AC2EA" w14:textId="77777777" w:rsidR="00C47177" w:rsidRPr="00A32388" w:rsidRDefault="00C47177">
      <w:pPr>
        <w:rPr>
          <w:lang w:val="nl-NL"/>
        </w:rPr>
      </w:pPr>
    </w:p>
    <w:p w14:paraId="555477CD" w14:textId="77777777" w:rsidR="00C47177" w:rsidRPr="00A32388" w:rsidRDefault="00A32388">
      <w:pPr>
        <w:pStyle w:val="Kop3"/>
        <w:numPr>
          <w:ilvl w:val="1"/>
          <w:numId w:val="2"/>
        </w:numPr>
        <w:ind w:left="708" w:hanging="285"/>
        <w:rPr>
          <w:lang w:val="nl-NL"/>
        </w:rPr>
      </w:pPr>
      <w:bookmarkStart w:id="14" w:name="_q8z1wynjwuc9" w:colFirst="0" w:colLast="0"/>
      <w:bookmarkEnd w:id="14"/>
      <w:r w:rsidRPr="00A32388">
        <w:rPr>
          <w:lang w:val="nl-NL"/>
        </w:rPr>
        <w:t>Aanpassing auto &gt; Gas geven ondersteund door externe kracht</w:t>
      </w:r>
    </w:p>
    <w:p w14:paraId="2484E9C9" w14:textId="77777777" w:rsidR="00C47177" w:rsidRPr="00A32388" w:rsidRDefault="00C47177">
      <w:pPr>
        <w:rPr>
          <w:lang w:val="nl-NL"/>
        </w:rPr>
      </w:pPr>
    </w:p>
    <w:p w14:paraId="1A099698" w14:textId="77777777" w:rsidR="00C47177" w:rsidRPr="00A32388" w:rsidRDefault="00A32388">
      <w:pPr>
        <w:rPr>
          <w:lang w:val="nl-NL"/>
        </w:rPr>
      </w:pPr>
      <w:r w:rsidRPr="00A32388">
        <w:rPr>
          <w:b/>
          <w:lang w:val="nl-NL"/>
        </w:rPr>
        <w:t>Aanpassing</w:t>
      </w:r>
      <w:r w:rsidRPr="00A32388">
        <w:rPr>
          <w:lang w:val="nl-NL"/>
        </w:rPr>
        <w:t>: aanpassing beschrijving; aanpassing rubriek</w:t>
      </w:r>
    </w:p>
    <w:p w14:paraId="7CE2FF23" w14:textId="77777777" w:rsidR="00C47177" w:rsidRPr="00A32388" w:rsidRDefault="00C47177">
      <w:pPr>
        <w:rPr>
          <w:lang w:val="nl-NL"/>
        </w:rPr>
      </w:pPr>
    </w:p>
    <w:p w14:paraId="2B62CB37" w14:textId="77777777" w:rsidR="00C47177" w:rsidRPr="00A32388" w:rsidRDefault="00A32388">
      <w:pPr>
        <w:rPr>
          <w:lang w:val="nl-NL"/>
        </w:rPr>
      </w:pPr>
      <w:r w:rsidRPr="00A32388">
        <w:rPr>
          <w:lang w:val="nl-NL"/>
        </w:rPr>
        <w:t>Onder de referterubriek ‘Gas geven ondersteund door exter</w:t>
      </w:r>
      <w:r w:rsidRPr="00A32388">
        <w:rPr>
          <w:lang w:val="nl-NL"/>
        </w:rPr>
        <w:t>ne kracht’ (conform CARA-code 25.06) zijn niet alleen de elektronische gasringen inbegrepen, maar ook enkele andere systemen zoals de dubbelzijdige hendels met elektronische ondersteuning, triggergaspedaal …. Daarom wordt de beschrijving van deze referteru</w:t>
      </w:r>
      <w:r w:rsidRPr="00A32388">
        <w:rPr>
          <w:lang w:val="nl-NL"/>
        </w:rPr>
        <w:t>briek aangepast:</w:t>
      </w:r>
    </w:p>
    <w:p w14:paraId="081ACD3B" w14:textId="77777777" w:rsidR="00C47177" w:rsidRPr="00A32388" w:rsidRDefault="00C47177">
      <w:pPr>
        <w:rPr>
          <w:lang w:val="nl-NL"/>
        </w:rPr>
      </w:pPr>
    </w:p>
    <w:p w14:paraId="07401885" w14:textId="77777777" w:rsidR="00C47177" w:rsidRPr="00A32388" w:rsidRDefault="00A32388">
      <w:pPr>
        <w:rPr>
          <w:lang w:val="nl-NL"/>
        </w:rPr>
      </w:pPr>
      <w:r w:rsidRPr="00A32388">
        <w:rPr>
          <w:lang w:val="nl-NL"/>
        </w:rPr>
        <w:t>"Gas geven ondersteund door externe kracht, is een al dan niet afneembaar systeem om handmatig gas te geven mits elektronische ondersteuning. Dit systeem kan zowel bovenop als onder het originele stuur worden gemonteerd.</w:t>
      </w:r>
    </w:p>
    <w:p w14:paraId="40F94FC1" w14:textId="77777777" w:rsidR="00C47177" w:rsidRPr="00A32388" w:rsidRDefault="00A32388">
      <w:pPr>
        <w:rPr>
          <w:lang w:val="nl-NL"/>
        </w:rPr>
      </w:pPr>
      <w:r w:rsidRPr="00A32388">
        <w:rPr>
          <w:lang w:val="nl-NL"/>
        </w:rPr>
        <w:t>Een systeem om ga</w:t>
      </w:r>
      <w:r w:rsidRPr="00A32388">
        <w:rPr>
          <w:lang w:val="nl-NL"/>
        </w:rPr>
        <w:t>s te geven ondersteund door externe kracht, is enkel van toepassing bij een auto met een automatische transmissie.”</w:t>
      </w:r>
    </w:p>
    <w:p w14:paraId="377563C0" w14:textId="77777777" w:rsidR="00C47177" w:rsidRPr="00A32388" w:rsidRDefault="00C47177">
      <w:pPr>
        <w:rPr>
          <w:u w:val="single"/>
          <w:lang w:val="nl-NL"/>
        </w:rPr>
      </w:pPr>
    </w:p>
    <w:p w14:paraId="2D807EEA" w14:textId="77777777" w:rsidR="00C47177" w:rsidRPr="00A32388" w:rsidRDefault="00A32388">
      <w:pPr>
        <w:pStyle w:val="Kop3"/>
        <w:numPr>
          <w:ilvl w:val="1"/>
          <w:numId w:val="2"/>
        </w:numPr>
        <w:ind w:left="708" w:hanging="285"/>
        <w:rPr>
          <w:lang w:val="nl-NL"/>
        </w:rPr>
      </w:pPr>
      <w:bookmarkStart w:id="15" w:name="_jchpx9qy7ren" w:colFirst="0" w:colLast="0"/>
      <w:bookmarkEnd w:id="15"/>
      <w:r w:rsidRPr="00A32388">
        <w:rPr>
          <w:lang w:val="nl-NL"/>
        </w:rPr>
        <w:t>Aanpassing auto &gt; Rolstoelplateaulift &gt; Aanvulling &gt; M1-gekeurde vloer</w:t>
      </w:r>
    </w:p>
    <w:p w14:paraId="35919965" w14:textId="77777777" w:rsidR="00C47177" w:rsidRPr="00A32388" w:rsidRDefault="00C47177">
      <w:pPr>
        <w:rPr>
          <w:lang w:val="nl-NL"/>
        </w:rPr>
      </w:pPr>
    </w:p>
    <w:p w14:paraId="2DB68EFC" w14:textId="77777777" w:rsidR="00C47177" w:rsidRPr="00A32388" w:rsidRDefault="00A32388">
      <w:pPr>
        <w:rPr>
          <w:lang w:val="nl-NL"/>
        </w:rPr>
      </w:pPr>
      <w:proofErr w:type="gramStart"/>
      <w:r w:rsidRPr="00A32388">
        <w:rPr>
          <w:b/>
          <w:lang w:val="nl-NL"/>
        </w:rPr>
        <w:t>Aanpassing</w:t>
      </w:r>
      <w:r w:rsidRPr="00A32388">
        <w:rPr>
          <w:lang w:val="nl-NL"/>
        </w:rPr>
        <w:t>:  aanpassing</w:t>
      </w:r>
      <w:proofErr w:type="gramEnd"/>
      <w:r w:rsidRPr="00A32388">
        <w:rPr>
          <w:lang w:val="nl-NL"/>
        </w:rPr>
        <w:t xml:space="preserve"> refertebedrag; invoering/aanpassing cumulve</w:t>
      </w:r>
      <w:r w:rsidRPr="00A32388">
        <w:rPr>
          <w:lang w:val="nl-NL"/>
        </w:rPr>
        <w:t>rbod; aanpassing rubriek</w:t>
      </w:r>
    </w:p>
    <w:p w14:paraId="4F982479" w14:textId="77777777" w:rsidR="00C47177" w:rsidRPr="00A32388" w:rsidRDefault="00C47177">
      <w:pPr>
        <w:rPr>
          <w:lang w:val="nl-NL"/>
        </w:rPr>
      </w:pPr>
    </w:p>
    <w:p w14:paraId="1ABC2860" w14:textId="77777777" w:rsidR="00C47177" w:rsidRPr="00A32388" w:rsidRDefault="00A32388">
      <w:pPr>
        <w:rPr>
          <w:lang w:val="nl-NL"/>
        </w:rPr>
      </w:pPr>
      <w:r w:rsidRPr="00A32388">
        <w:rPr>
          <w:lang w:val="nl-NL"/>
        </w:rPr>
        <w:t xml:space="preserve">De referterubrieken ‘M1-gekeurde vloer’ en ‘verstevigde vloer’ kunnen voor aanvragen vanaf 1 oktober niet meer met elkaar gecombineerd worden. </w:t>
      </w:r>
    </w:p>
    <w:p w14:paraId="3F65AC5D" w14:textId="77777777" w:rsidR="00C47177" w:rsidRPr="00A32388" w:rsidRDefault="00A32388">
      <w:pPr>
        <w:rPr>
          <w:lang w:val="nl-NL"/>
        </w:rPr>
      </w:pPr>
      <w:r w:rsidRPr="00A32388">
        <w:rPr>
          <w:lang w:val="nl-NL"/>
        </w:rPr>
        <w:lastRenderedPageBreak/>
        <w:t>Voor een aanvraag van een M1-gekeurde vloer wordt vanaf dan enkel het refertebedrag va</w:t>
      </w:r>
      <w:r w:rsidRPr="00A32388">
        <w:rPr>
          <w:lang w:val="nl-NL"/>
        </w:rPr>
        <w:t>n een M1-gekeurde vloer toegekend. Het refertebedrag voor een M1-gekeurde vloer wordt verhoogd tot 3.150,00 euro.</w:t>
      </w:r>
    </w:p>
    <w:p w14:paraId="3A923C2F" w14:textId="77777777" w:rsidR="00C47177" w:rsidRPr="00A32388" w:rsidRDefault="00C47177">
      <w:pPr>
        <w:rPr>
          <w:lang w:val="nl-NL"/>
        </w:rPr>
      </w:pPr>
    </w:p>
    <w:p w14:paraId="171BAD18" w14:textId="77777777" w:rsidR="00C47177" w:rsidRPr="00A32388" w:rsidRDefault="00C47177">
      <w:pPr>
        <w:rPr>
          <w:lang w:val="nl-NL"/>
        </w:rPr>
      </w:pPr>
    </w:p>
    <w:p w14:paraId="1BCC3947" w14:textId="77777777" w:rsidR="00C47177" w:rsidRPr="00A32388" w:rsidRDefault="00C47177">
      <w:pPr>
        <w:rPr>
          <w:lang w:val="nl-NL"/>
        </w:rPr>
      </w:pPr>
    </w:p>
    <w:p w14:paraId="04BE1E2E" w14:textId="77777777" w:rsidR="00C47177" w:rsidRPr="00A32388" w:rsidRDefault="00C47177">
      <w:pPr>
        <w:rPr>
          <w:lang w:val="nl-NL"/>
        </w:rPr>
      </w:pPr>
    </w:p>
    <w:p w14:paraId="0C9885D5" w14:textId="77777777" w:rsidR="00C47177" w:rsidRPr="00A32388" w:rsidRDefault="00A32388">
      <w:pPr>
        <w:pStyle w:val="Kop3"/>
        <w:numPr>
          <w:ilvl w:val="1"/>
          <w:numId w:val="2"/>
        </w:numPr>
        <w:ind w:left="708" w:hanging="285"/>
        <w:rPr>
          <w:lang w:val="nl-NL"/>
        </w:rPr>
      </w:pPr>
      <w:bookmarkStart w:id="16" w:name="_4p5uq76kdwvn" w:colFirst="0" w:colLast="0"/>
      <w:bookmarkEnd w:id="16"/>
      <w:r w:rsidRPr="00A32388">
        <w:rPr>
          <w:lang w:val="nl-NL"/>
        </w:rPr>
        <w:t>Aanpassing auto &gt; Rolstoelplateaulift &gt; Aanvulling &gt; Verstevigde vloer</w:t>
      </w:r>
    </w:p>
    <w:p w14:paraId="5252FBEB" w14:textId="77777777" w:rsidR="00C47177" w:rsidRPr="00A32388" w:rsidRDefault="00C47177">
      <w:pPr>
        <w:rPr>
          <w:lang w:val="nl-NL"/>
        </w:rPr>
      </w:pPr>
    </w:p>
    <w:p w14:paraId="54974168" w14:textId="77777777" w:rsidR="00C47177" w:rsidRPr="00A32388" w:rsidRDefault="00A32388">
      <w:pPr>
        <w:rPr>
          <w:lang w:val="nl-NL"/>
        </w:rPr>
      </w:pPr>
      <w:r w:rsidRPr="00A32388">
        <w:rPr>
          <w:b/>
          <w:lang w:val="nl-NL"/>
        </w:rPr>
        <w:t>Aanpassing</w:t>
      </w:r>
      <w:r w:rsidRPr="00A32388">
        <w:rPr>
          <w:lang w:val="nl-NL"/>
        </w:rPr>
        <w:t>: invoering/aanpassing cumulverbod; invoering/aanpassing forfaitair gebruik</w:t>
      </w:r>
    </w:p>
    <w:p w14:paraId="49B52738" w14:textId="77777777" w:rsidR="00C47177" w:rsidRPr="00A32388" w:rsidRDefault="00C47177">
      <w:pPr>
        <w:rPr>
          <w:lang w:val="nl-NL"/>
        </w:rPr>
      </w:pPr>
    </w:p>
    <w:p w14:paraId="45AE7386" w14:textId="77777777" w:rsidR="00C47177" w:rsidRPr="00A32388" w:rsidRDefault="00A32388">
      <w:pPr>
        <w:rPr>
          <w:lang w:val="nl-NL"/>
        </w:rPr>
      </w:pPr>
      <w:r w:rsidRPr="00A32388">
        <w:rPr>
          <w:lang w:val="nl-NL"/>
        </w:rPr>
        <w:t>De referterubrieken ‘verstevigde vloer’ en ‘M1-gekeurde vloer’ kunnen voor aanvragen vanaf 1 okto</w:t>
      </w:r>
      <w:r w:rsidRPr="00A32388">
        <w:rPr>
          <w:lang w:val="nl-NL"/>
        </w:rPr>
        <w:t>ber niet meer met elkaar gecombineerd worden.</w:t>
      </w:r>
    </w:p>
    <w:p w14:paraId="5092AFE6" w14:textId="77777777" w:rsidR="00C47177" w:rsidRPr="00A32388" w:rsidRDefault="00C47177">
      <w:pPr>
        <w:rPr>
          <w:lang w:val="nl-NL"/>
        </w:rPr>
      </w:pPr>
    </w:p>
    <w:p w14:paraId="2672EAB1" w14:textId="77777777" w:rsidR="00C47177" w:rsidRPr="00A32388" w:rsidRDefault="00A32388">
      <w:pPr>
        <w:rPr>
          <w:lang w:val="nl-NL"/>
        </w:rPr>
      </w:pPr>
      <w:r w:rsidRPr="00A32388">
        <w:rPr>
          <w:lang w:val="nl-NL"/>
        </w:rPr>
        <w:t>Het refertebedrag voor een verstevigde vloer kan wel forfaitair gebruikt worden voor een M1-gekeurde vloer, voor personen die niet behoren tot de doelgroep van de M1-gekeurde vloer, maar wel tot die van een ve</w:t>
      </w:r>
      <w:r w:rsidRPr="00A32388">
        <w:rPr>
          <w:lang w:val="nl-NL"/>
        </w:rPr>
        <w:t xml:space="preserve">rstevigde vloer. </w:t>
      </w:r>
    </w:p>
    <w:p w14:paraId="21A23D81" w14:textId="77777777" w:rsidR="00C47177" w:rsidRPr="00A32388" w:rsidRDefault="00C47177">
      <w:pPr>
        <w:rPr>
          <w:lang w:val="nl-NL"/>
        </w:rPr>
      </w:pPr>
    </w:p>
    <w:p w14:paraId="681E2FFD" w14:textId="77777777" w:rsidR="00C47177" w:rsidRPr="00A32388" w:rsidRDefault="00C47177">
      <w:pPr>
        <w:rPr>
          <w:lang w:val="nl-NL"/>
        </w:rPr>
      </w:pPr>
    </w:p>
    <w:p w14:paraId="6923EA9A" w14:textId="77777777" w:rsidR="00C47177" w:rsidRPr="00A32388" w:rsidRDefault="00A32388">
      <w:pPr>
        <w:pStyle w:val="Kop3"/>
        <w:widowControl w:val="0"/>
        <w:numPr>
          <w:ilvl w:val="0"/>
          <w:numId w:val="2"/>
        </w:numPr>
        <w:spacing w:line="360" w:lineRule="auto"/>
        <w:ind w:left="566"/>
        <w:rPr>
          <w:lang w:val="nl-NL"/>
        </w:rPr>
      </w:pPr>
      <w:bookmarkStart w:id="17" w:name="_1l0bier0jf0c" w:colFirst="0" w:colLast="0"/>
      <w:bookmarkEnd w:id="17"/>
      <w:r w:rsidRPr="00A32388">
        <w:rPr>
          <w:lang w:val="nl-NL"/>
        </w:rPr>
        <w:t>Wonen</w:t>
      </w:r>
    </w:p>
    <w:p w14:paraId="21EC1327" w14:textId="77777777" w:rsidR="00C47177" w:rsidRPr="00A32388" w:rsidRDefault="00A32388">
      <w:pPr>
        <w:pStyle w:val="Kop3"/>
        <w:numPr>
          <w:ilvl w:val="1"/>
          <w:numId w:val="2"/>
        </w:numPr>
        <w:ind w:left="708" w:hanging="285"/>
        <w:rPr>
          <w:lang w:val="nl-NL"/>
        </w:rPr>
      </w:pPr>
      <w:bookmarkStart w:id="18" w:name="_tvnvj6lepjy9" w:colFirst="0" w:colLast="0"/>
      <w:bookmarkEnd w:id="18"/>
      <w:r w:rsidRPr="00A32388">
        <w:rPr>
          <w:lang w:val="nl-NL"/>
        </w:rPr>
        <w:t>Aanpassen toegang tot de woning</w:t>
      </w:r>
    </w:p>
    <w:p w14:paraId="78A786A5" w14:textId="77777777" w:rsidR="00C47177" w:rsidRPr="00A32388" w:rsidRDefault="00C47177">
      <w:pPr>
        <w:rPr>
          <w:u w:val="single"/>
          <w:lang w:val="nl-NL"/>
        </w:rPr>
      </w:pPr>
    </w:p>
    <w:p w14:paraId="4DE57315" w14:textId="77777777" w:rsidR="00C47177" w:rsidRPr="00A32388" w:rsidRDefault="00A32388">
      <w:pPr>
        <w:rPr>
          <w:lang w:val="nl-NL"/>
        </w:rPr>
      </w:pPr>
      <w:r w:rsidRPr="00A32388">
        <w:rPr>
          <w:b/>
          <w:lang w:val="nl-NL"/>
        </w:rPr>
        <w:t>Aanpassing</w:t>
      </w:r>
      <w:r w:rsidRPr="00A32388">
        <w:rPr>
          <w:lang w:val="nl-NL"/>
        </w:rPr>
        <w:t>: aanpassing refertebedrag</w:t>
      </w:r>
    </w:p>
    <w:p w14:paraId="767CD24E" w14:textId="77777777" w:rsidR="00C47177" w:rsidRPr="00A32388" w:rsidRDefault="00C47177">
      <w:pPr>
        <w:spacing w:after="120"/>
        <w:rPr>
          <w:lang w:val="nl-NL"/>
        </w:rPr>
      </w:pPr>
    </w:p>
    <w:p w14:paraId="2D9CE6D5" w14:textId="77777777" w:rsidR="00C47177" w:rsidRPr="00A32388" w:rsidRDefault="00A32388">
      <w:pPr>
        <w:spacing w:after="120"/>
        <w:rPr>
          <w:lang w:val="nl-NL"/>
        </w:rPr>
      </w:pPr>
      <w:r w:rsidRPr="00A32388">
        <w:rPr>
          <w:lang w:val="nl-NL"/>
        </w:rPr>
        <w:t xml:space="preserve">Het refertebedrag wordt verhoogd naar 3.089,94 euro om beter tegemoet te komen aan de werkelijke kostprijs van de aanpassing. </w:t>
      </w:r>
    </w:p>
    <w:p w14:paraId="775053D0" w14:textId="77777777" w:rsidR="00C47177" w:rsidRPr="00A32388" w:rsidRDefault="00C47177">
      <w:pPr>
        <w:spacing w:after="120"/>
        <w:rPr>
          <w:lang w:val="nl-NL"/>
        </w:rPr>
      </w:pPr>
    </w:p>
    <w:p w14:paraId="5FAC5BFB" w14:textId="77777777" w:rsidR="00C47177" w:rsidRPr="00A32388" w:rsidRDefault="00A32388">
      <w:pPr>
        <w:pStyle w:val="Kop3"/>
        <w:numPr>
          <w:ilvl w:val="1"/>
          <w:numId w:val="2"/>
        </w:numPr>
        <w:ind w:left="708" w:hanging="285"/>
        <w:rPr>
          <w:lang w:val="nl-NL"/>
        </w:rPr>
      </w:pPr>
      <w:bookmarkStart w:id="19" w:name="_yvabweqjad6d" w:colFirst="0" w:colLast="0"/>
      <w:bookmarkEnd w:id="19"/>
      <w:r w:rsidRPr="00A32388">
        <w:rPr>
          <w:lang w:val="nl-NL"/>
        </w:rPr>
        <w:t xml:space="preserve">Herinrichten bestaande </w:t>
      </w:r>
      <w:proofErr w:type="gramStart"/>
      <w:r w:rsidRPr="00A32388">
        <w:rPr>
          <w:lang w:val="nl-NL"/>
        </w:rPr>
        <w:t>badkamer /</w:t>
      </w:r>
      <w:proofErr w:type="gramEnd"/>
      <w:r w:rsidRPr="00A32388">
        <w:rPr>
          <w:lang w:val="nl-NL"/>
        </w:rPr>
        <w:t xml:space="preserve"> herinrichten bestaande sanitaire ruimte / bestemmingswijziging: inrichten badkamer in bestaand</w:t>
      </w:r>
      <w:r w:rsidRPr="00A32388">
        <w:rPr>
          <w:lang w:val="nl-NL"/>
        </w:rPr>
        <w:t>e ruimte &gt; Toegangsdeur aanpassen (verbreden/verplaatsen/schuifdeur plaatsen)</w:t>
      </w:r>
    </w:p>
    <w:p w14:paraId="72518B1D" w14:textId="77777777" w:rsidR="00C47177" w:rsidRPr="00A32388" w:rsidRDefault="00C47177">
      <w:pPr>
        <w:rPr>
          <w:u w:val="single"/>
          <w:lang w:val="nl-NL"/>
        </w:rPr>
      </w:pPr>
    </w:p>
    <w:p w14:paraId="3D52DD0F" w14:textId="77777777" w:rsidR="00C47177" w:rsidRPr="00A32388" w:rsidRDefault="00A32388">
      <w:pPr>
        <w:rPr>
          <w:lang w:val="nl-NL"/>
        </w:rPr>
      </w:pPr>
      <w:r w:rsidRPr="00A32388">
        <w:rPr>
          <w:b/>
          <w:lang w:val="nl-NL"/>
        </w:rPr>
        <w:t>Aanpassing</w:t>
      </w:r>
      <w:r w:rsidRPr="00A32388">
        <w:rPr>
          <w:lang w:val="nl-NL"/>
        </w:rPr>
        <w:t>: aanpassing refertebedrag</w:t>
      </w:r>
    </w:p>
    <w:p w14:paraId="2EF7564D" w14:textId="77777777" w:rsidR="00C47177" w:rsidRPr="00A32388" w:rsidRDefault="00C47177">
      <w:pPr>
        <w:rPr>
          <w:lang w:val="nl-NL"/>
        </w:rPr>
      </w:pPr>
    </w:p>
    <w:p w14:paraId="61B6973F" w14:textId="77777777" w:rsidR="00C47177" w:rsidRPr="00A32388" w:rsidRDefault="00A32388">
      <w:pPr>
        <w:spacing w:after="80"/>
        <w:rPr>
          <w:lang w:val="nl-NL"/>
        </w:rPr>
      </w:pPr>
      <w:r w:rsidRPr="00A32388">
        <w:rPr>
          <w:lang w:val="nl-NL"/>
        </w:rPr>
        <w:t>Het refertebedrag voor het aanpassen van de toegangsdeur tot de badkamer wordt verhoogd naar 1.260,00 euro om beter tegemoet te komen aan d</w:t>
      </w:r>
      <w:r w:rsidRPr="00A32388">
        <w:rPr>
          <w:lang w:val="nl-NL"/>
        </w:rPr>
        <w:t xml:space="preserve">e werkelijke kostprijs van de aanpassing. </w:t>
      </w:r>
    </w:p>
    <w:p w14:paraId="34D52C78" w14:textId="77777777" w:rsidR="00C47177" w:rsidRPr="00A32388" w:rsidRDefault="00C47177">
      <w:pPr>
        <w:rPr>
          <w:lang w:val="nl-NL"/>
        </w:rPr>
      </w:pPr>
    </w:p>
    <w:p w14:paraId="7117D69A" w14:textId="77777777" w:rsidR="00C47177" w:rsidRPr="00A32388" w:rsidRDefault="00A32388">
      <w:pPr>
        <w:pStyle w:val="Kop3"/>
        <w:numPr>
          <w:ilvl w:val="1"/>
          <w:numId w:val="2"/>
        </w:numPr>
        <w:ind w:left="708" w:hanging="285"/>
        <w:rPr>
          <w:lang w:val="nl-NL"/>
        </w:rPr>
      </w:pPr>
      <w:bookmarkStart w:id="20" w:name="_eb9trqyjbxkw" w:colFirst="0" w:colLast="0"/>
      <w:bookmarkEnd w:id="20"/>
      <w:r w:rsidRPr="00A32388">
        <w:rPr>
          <w:lang w:val="nl-NL"/>
        </w:rPr>
        <w:lastRenderedPageBreak/>
        <w:t xml:space="preserve">Herinrichten bestaande </w:t>
      </w:r>
      <w:proofErr w:type="gramStart"/>
      <w:r w:rsidRPr="00A32388">
        <w:rPr>
          <w:lang w:val="nl-NL"/>
        </w:rPr>
        <w:t>badkamer /</w:t>
      </w:r>
      <w:proofErr w:type="gramEnd"/>
      <w:r w:rsidRPr="00A32388">
        <w:rPr>
          <w:lang w:val="nl-NL"/>
        </w:rPr>
        <w:t xml:space="preserve"> herinrichten bestaande sanitaire ruimte / bestemmingswijziging: inrichten badkamer in bestaande ruimte / kopen aangepaste woning in functie van rolstoelgebruik &gt; Aanpassen/plaats</w:t>
      </w:r>
      <w:r w:rsidRPr="00A32388">
        <w:rPr>
          <w:lang w:val="nl-NL"/>
        </w:rPr>
        <w:t>en aangepast toilet en afbraakwerken en Bijbouwen badkamer / bijbouwen badkamer en slaapkamer op het gelijkvloers &gt; Plaatsen aangepast toilet</w:t>
      </w:r>
    </w:p>
    <w:p w14:paraId="3A90B813" w14:textId="77777777" w:rsidR="00C47177" w:rsidRPr="00A32388" w:rsidRDefault="00C47177">
      <w:pPr>
        <w:rPr>
          <w:u w:val="single"/>
          <w:lang w:val="nl-NL"/>
        </w:rPr>
      </w:pPr>
    </w:p>
    <w:p w14:paraId="5CF27A8E" w14:textId="77777777" w:rsidR="00C47177" w:rsidRPr="00A32388" w:rsidRDefault="00C47177">
      <w:pPr>
        <w:rPr>
          <w:u w:val="single"/>
          <w:lang w:val="nl-NL"/>
        </w:rPr>
      </w:pPr>
    </w:p>
    <w:p w14:paraId="5D5488A1" w14:textId="77777777" w:rsidR="00C47177" w:rsidRPr="00A32388" w:rsidRDefault="00A32388">
      <w:pPr>
        <w:rPr>
          <w:lang w:val="nl-NL"/>
        </w:rPr>
      </w:pPr>
      <w:r w:rsidRPr="00A32388">
        <w:rPr>
          <w:b/>
          <w:lang w:val="nl-NL"/>
        </w:rPr>
        <w:t>Aanpassing</w:t>
      </w:r>
      <w:r w:rsidRPr="00A32388">
        <w:rPr>
          <w:lang w:val="nl-NL"/>
        </w:rPr>
        <w:t>: aanpassing refertebedrag</w:t>
      </w:r>
    </w:p>
    <w:p w14:paraId="0F0A69AC" w14:textId="77777777" w:rsidR="00C47177" w:rsidRPr="00A32388" w:rsidRDefault="00C47177">
      <w:pPr>
        <w:rPr>
          <w:lang w:val="nl-NL"/>
        </w:rPr>
      </w:pPr>
    </w:p>
    <w:p w14:paraId="1D84B584" w14:textId="77777777" w:rsidR="00C47177" w:rsidRPr="00A32388" w:rsidRDefault="00A32388">
      <w:pPr>
        <w:spacing w:after="80"/>
        <w:rPr>
          <w:lang w:val="nl-NL"/>
        </w:rPr>
      </w:pPr>
      <w:r w:rsidRPr="00A32388">
        <w:rPr>
          <w:lang w:val="nl-NL"/>
        </w:rPr>
        <w:t>Het refertebedrag voor het plaatsen van een aangepast toilet wordt verhoogd naar</w:t>
      </w:r>
      <w:r w:rsidRPr="00A32388">
        <w:rPr>
          <w:highlight w:val="white"/>
          <w:lang w:val="nl-NL"/>
        </w:rPr>
        <w:t xml:space="preserve"> 945,00 euro. </w:t>
      </w:r>
      <w:r w:rsidRPr="00A32388">
        <w:rPr>
          <w:lang w:val="nl-NL"/>
        </w:rPr>
        <w:t>Een groot deel van de kostprijs wordt bepaald door de werken die noodzakelijk zijn om het toilet te plaatsen, zoals een afvoer voorzien. Deze kosten zijn afhankel</w:t>
      </w:r>
      <w:r w:rsidRPr="00A32388">
        <w:rPr>
          <w:lang w:val="nl-NL"/>
        </w:rPr>
        <w:t>ijk van de situatie en dus variabel. Met de voorgestelde vergoeding wordt hieraan beter tegemoetgekomen.</w:t>
      </w:r>
    </w:p>
    <w:p w14:paraId="07344E1E" w14:textId="77777777" w:rsidR="00C47177" w:rsidRPr="00A32388" w:rsidRDefault="00C47177">
      <w:pPr>
        <w:rPr>
          <w:lang w:val="nl-NL"/>
        </w:rPr>
      </w:pPr>
    </w:p>
    <w:p w14:paraId="7CA57B1C" w14:textId="77777777" w:rsidR="00C47177" w:rsidRPr="00A32388" w:rsidRDefault="00A32388">
      <w:pPr>
        <w:pStyle w:val="Kop3"/>
        <w:numPr>
          <w:ilvl w:val="1"/>
          <w:numId w:val="2"/>
        </w:numPr>
        <w:ind w:left="708" w:hanging="285"/>
        <w:rPr>
          <w:lang w:val="nl-NL"/>
        </w:rPr>
      </w:pPr>
      <w:bookmarkStart w:id="21" w:name="_v1j13hawxj7o" w:colFirst="0" w:colLast="0"/>
      <w:bookmarkEnd w:id="21"/>
      <w:r w:rsidRPr="00A32388">
        <w:rPr>
          <w:lang w:val="nl-NL"/>
        </w:rPr>
        <w:t xml:space="preserve">Herinrichten bestaande </w:t>
      </w:r>
      <w:proofErr w:type="gramStart"/>
      <w:r w:rsidRPr="00A32388">
        <w:rPr>
          <w:lang w:val="nl-NL"/>
        </w:rPr>
        <w:t>badkamer /</w:t>
      </w:r>
      <w:proofErr w:type="gramEnd"/>
      <w:r w:rsidRPr="00A32388">
        <w:rPr>
          <w:lang w:val="nl-NL"/>
        </w:rPr>
        <w:t xml:space="preserve"> herinrichten bestaande sanitaire ruimte / bestemmingswijziging: inrichten badkamer in bestaande ruimte / kopen aange</w:t>
      </w:r>
      <w:r w:rsidRPr="00A32388">
        <w:rPr>
          <w:lang w:val="nl-NL"/>
        </w:rPr>
        <w:t xml:space="preserve">paste woning in functie van rolstoelgebruik &gt; </w:t>
      </w:r>
      <w:proofErr w:type="spellStart"/>
      <w:r w:rsidRPr="00A32388">
        <w:rPr>
          <w:lang w:val="nl-NL"/>
        </w:rPr>
        <w:t>Onderrijdbare</w:t>
      </w:r>
      <w:proofErr w:type="spellEnd"/>
      <w:r w:rsidRPr="00A32388">
        <w:rPr>
          <w:lang w:val="nl-NL"/>
        </w:rPr>
        <w:t>/</w:t>
      </w:r>
      <w:proofErr w:type="spellStart"/>
      <w:r w:rsidRPr="00A32388">
        <w:rPr>
          <w:lang w:val="nl-NL"/>
        </w:rPr>
        <w:t>onderzitbare</w:t>
      </w:r>
      <w:proofErr w:type="spellEnd"/>
      <w:r w:rsidRPr="00A32388">
        <w:rPr>
          <w:lang w:val="nl-NL"/>
        </w:rPr>
        <w:t xml:space="preserve"> wastafel en afbraakwerken en Bijbouwen badkamer / bijbouwen badkamer en slaapkamer op het gelijkvloers &gt; </w:t>
      </w:r>
      <w:proofErr w:type="spellStart"/>
      <w:r w:rsidRPr="00A32388">
        <w:rPr>
          <w:lang w:val="nl-NL"/>
        </w:rPr>
        <w:t>Onderrijdbare</w:t>
      </w:r>
      <w:proofErr w:type="spellEnd"/>
      <w:r w:rsidRPr="00A32388">
        <w:rPr>
          <w:lang w:val="nl-NL"/>
        </w:rPr>
        <w:t>/</w:t>
      </w:r>
      <w:proofErr w:type="spellStart"/>
      <w:r w:rsidRPr="00A32388">
        <w:rPr>
          <w:lang w:val="nl-NL"/>
        </w:rPr>
        <w:t>onderzitbare</w:t>
      </w:r>
      <w:proofErr w:type="spellEnd"/>
      <w:r w:rsidRPr="00A32388">
        <w:rPr>
          <w:lang w:val="nl-NL"/>
        </w:rPr>
        <w:t xml:space="preserve"> wastafel</w:t>
      </w:r>
    </w:p>
    <w:p w14:paraId="7370D36F" w14:textId="77777777" w:rsidR="00C47177" w:rsidRPr="00A32388" w:rsidRDefault="00C47177">
      <w:pPr>
        <w:rPr>
          <w:u w:val="single"/>
          <w:lang w:val="nl-NL"/>
        </w:rPr>
      </w:pPr>
    </w:p>
    <w:p w14:paraId="4A6C49AD" w14:textId="77777777" w:rsidR="00C47177" w:rsidRPr="00A32388" w:rsidRDefault="00A32388">
      <w:pPr>
        <w:rPr>
          <w:lang w:val="nl-NL"/>
        </w:rPr>
      </w:pPr>
      <w:r w:rsidRPr="00A32388">
        <w:rPr>
          <w:b/>
          <w:lang w:val="nl-NL"/>
        </w:rPr>
        <w:t>Aanpassing</w:t>
      </w:r>
      <w:r w:rsidRPr="00A32388">
        <w:rPr>
          <w:lang w:val="nl-NL"/>
        </w:rPr>
        <w:t>: aanpassing refertebedrag</w:t>
      </w:r>
    </w:p>
    <w:p w14:paraId="37535188" w14:textId="77777777" w:rsidR="00C47177" w:rsidRPr="00A32388" w:rsidRDefault="00C47177">
      <w:pPr>
        <w:rPr>
          <w:lang w:val="nl-NL"/>
        </w:rPr>
      </w:pPr>
    </w:p>
    <w:p w14:paraId="126BA686" w14:textId="77777777" w:rsidR="00C47177" w:rsidRPr="00A32388" w:rsidRDefault="00A32388">
      <w:pPr>
        <w:spacing w:after="80"/>
        <w:rPr>
          <w:lang w:val="nl-NL"/>
        </w:rPr>
      </w:pPr>
      <w:r w:rsidRPr="00A32388">
        <w:rPr>
          <w:lang w:val="nl-NL"/>
        </w:rPr>
        <w:t>Het</w:t>
      </w:r>
      <w:r w:rsidRPr="00A32388">
        <w:rPr>
          <w:lang w:val="nl-NL"/>
        </w:rPr>
        <w:t xml:space="preserve"> refertebedrag voor het plaatsen van een </w:t>
      </w:r>
      <w:proofErr w:type="spellStart"/>
      <w:r w:rsidRPr="00A32388">
        <w:rPr>
          <w:lang w:val="nl-NL"/>
        </w:rPr>
        <w:t>onderrijdbare</w:t>
      </w:r>
      <w:proofErr w:type="spellEnd"/>
      <w:r w:rsidRPr="00A32388">
        <w:rPr>
          <w:lang w:val="nl-NL"/>
        </w:rPr>
        <w:t>/</w:t>
      </w:r>
      <w:proofErr w:type="spellStart"/>
      <w:r w:rsidRPr="00A32388">
        <w:rPr>
          <w:lang w:val="nl-NL"/>
        </w:rPr>
        <w:t>onderzitbare</w:t>
      </w:r>
      <w:proofErr w:type="spellEnd"/>
      <w:r w:rsidRPr="00A32388">
        <w:rPr>
          <w:lang w:val="nl-NL"/>
        </w:rPr>
        <w:t xml:space="preserve"> wastafel wordt verhoogd tot</w:t>
      </w:r>
      <w:r w:rsidRPr="00A32388">
        <w:rPr>
          <w:highlight w:val="white"/>
          <w:lang w:val="nl-NL"/>
        </w:rPr>
        <w:t xml:space="preserve"> 756,00 euro.</w:t>
      </w:r>
    </w:p>
    <w:p w14:paraId="46E02D88" w14:textId="77777777" w:rsidR="00C47177" w:rsidRPr="00A32388" w:rsidRDefault="00C47177">
      <w:pPr>
        <w:rPr>
          <w:u w:val="single"/>
          <w:lang w:val="nl-NL"/>
        </w:rPr>
      </w:pPr>
    </w:p>
    <w:p w14:paraId="213FA5DB" w14:textId="77777777" w:rsidR="00C47177" w:rsidRPr="00A32388" w:rsidRDefault="00A32388">
      <w:pPr>
        <w:pStyle w:val="Kop3"/>
        <w:numPr>
          <w:ilvl w:val="1"/>
          <w:numId w:val="2"/>
        </w:numPr>
        <w:ind w:left="708" w:hanging="285"/>
        <w:rPr>
          <w:lang w:val="nl-NL"/>
        </w:rPr>
      </w:pPr>
      <w:bookmarkStart w:id="22" w:name="_xg3l1g37xn3c" w:colFirst="0" w:colLast="0"/>
      <w:bookmarkEnd w:id="22"/>
      <w:r w:rsidRPr="00A32388">
        <w:rPr>
          <w:lang w:val="nl-NL"/>
        </w:rPr>
        <w:t xml:space="preserve">Herinrichten bestaande </w:t>
      </w:r>
      <w:proofErr w:type="gramStart"/>
      <w:r w:rsidRPr="00A32388">
        <w:rPr>
          <w:lang w:val="nl-NL"/>
        </w:rPr>
        <w:t>badkamer /</w:t>
      </w:r>
      <w:proofErr w:type="gramEnd"/>
      <w:r w:rsidRPr="00A32388">
        <w:rPr>
          <w:lang w:val="nl-NL"/>
        </w:rPr>
        <w:t xml:space="preserve"> herinrichten bestaande sanitaire ruimte / bestemmingswijziging: inrichten badkamer in bestaande ruimte / kopen a</w:t>
      </w:r>
      <w:r w:rsidRPr="00A32388">
        <w:rPr>
          <w:lang w:val="nl-NL"/>
        </w:rPr>
        <w:t>angepaste woning in functie van rolstoelgebruik &gt; Plaatsen inloopdouche en afbraakwerken en Bijbouwen badkamer / bijbouwen badkamer en slaapkamer op het gelijkvloers &gt; Plaatsen inloopdouche</w:t>
      </w:r>
    </w:p>
    <w:p w14:paraId="21CA882B" w14:textId="77777777" w:rsidR="00C47177" w:rsidRPr="00A32388" w:rsidRDefault="00C47177">
      <w:pPr>
        <w:rPr>
          <w:u w:val="single"/>
          <w:lang w:val="nl-NL"/>
        </w:rPr>
      </w:pPr>
    </w:p>
    <w:p w14:paraId="71D6A9A4" w14:textId="77777777" w:rsidR="00C47177" w:rsidRPr="00A32388" w:rsidRDefault="00A32388">
      <w:pPr>
        <w:rPr>
          <w:lang w:val="nl-NL"/>
        </w:rPr>
      </w:pPr>
      <w:r w:rsidRPr="00A32388">
        <w:rPr>
          <w:b/>
          <w:lang w:val="nl-NL"/>
        </w:rPr>
        <w:t>Aanpassing</w:t>
      </w:r>
      <w:r w:rsidRPr="00A32388">
        <w:rPr>
          <w:lang w:val="nl-NL"/>
        </w:rPr>
        <w:t>: aanpassing refertebedrag</w:t>
      </w:r>
    </w:p>
    <w:p w14:paraId="5336F87B" w14:textId="77777777" w:rsidR="00C47177" w:rsidRPr="00A32388" w:rsidRDefault="00C47177">
      <w:pPr>
        <w:rPr>
          <w:lang w:val="nl-NL"/>
        </w:rPr>
      </w:pPr>
    </w:p>
    <w:p w14:paraId="7EE762EB" w14:textId="77777777" w:rsidR="00C47177" w:rsidRPr="00A32388" w:rsidRDefault="00A32388">
      <w:pPr>
        <w:spacing w:after="80"/>
        <w:rPr>
          <w:lang w:val="nl-NL"/>
        </w:rPr>
      </w:pPr>
      <w:r w:rsidRPr="00A32388">
        <w:rPr>
          <w:lang w:val="nl-NL"/>
        </w:rPr>
        <w:t>Het huidige refertebedrag b</w:t>
      </w:r>
      <w:r w:rsidRPr="00A32388">
        <w:rPr>
          <w:lang w:val="nl-NL"/>
        </w:rPr>
        <w:t>lijkt ontoereikend te zijn om een inloopdouche te plaatsen die voldoet aan de noden van de doelgroep. Daarom wordt het refertebedrag verhoogd tot</w:t>
      </w:r>
      <w:r w:rsidRPr="00A32388">
        <w:rPr>
          <w:highlight w:val="white"/>
          <w:lang w:val="nl-NL"/>
        </w:rPr>
        <w:t xml:space="preserve"> 3.150,00 euro.</w:t>
      </w:r>
    </w:p>
    <w:p w14:paraId="0DCAC237" w14:textId="77777777" w:rsidR="00C47177" w:rsidRPr="00A32388" w:rsidRDefault="00A32388">
      <w:pPr>
        <w:spacing w:after="80"/>
        <w:rPr>
          <w:lang w:val="nl-NL"/>
        </w:rPr>
      </w:pPr>
      <w:r w:rsidRPr="00A32388">
        <w:rPr>
          <w:lang w:val="nl-NL"/>
        </w:rPr>
        <w:t xml:space="preserve">Op de markt zijn meerdere oplossingen beschikbaar om een inloopdouche te voorzien. </w:t>
      </w:r>
    </w:p>
    <w:p w14:paraId="368980BD" w14:textId="77777777" w:rsidR="00C47177" w:rsidRPr="00A32388" w:rsidRDefault="00A32388">
      <w:pPr>
        <w:spacing w:after="80"/>
        <w:rPr>
          <w:lang w:val="nl-NL"/>
        </w:rPr>
      </w:pPr>
      <w:r w:rsidRPr="00A32388">
        <w:rPr>
          <w:lang w:val="nl-NL"/>
        </w:rPr>
        <w:lastRenderedPageBreak/>
        <w:t>Afhankelijk</w:t>
      </w:r>
      <w:r w:rsidRPr="00A32388">
        <w:rPr>
          <w:lang w:val="nl-NL"/>
        </w:rPr>
        <w:t xml:space="preserve"> van de situatie wordt gekozen voor één van deze opties. De mogelijkheden worden deels bepaald door de situatie en de noodzakelijke werken, waardoor de kostprijs variabel is. Met de voorgestelde vergoeding wordt hieraan beter tegemoetgekomen.</w:t>
      </w:r>
    </w:p>
    <w:p w14:paraId="541C9472" w14:textId="77777777" w:rsidR="00C47177" w:rsidRPr="00A32388" w:rsidRDefault="00C47177">
      <w:pPr>
        <w:spacing w:after="80"/>
        <w:rPr>
          <w:lang w:val="nl-NL"/>
        </w:rPr>
      </w:pPr>
    </w:p>
    <w:p w14:paraId="6777C5AF" w14:textId="77777777" w:rsidR="00C47177" w:rsidRPr="00A32388" w:rsidRDefault="00C47177">
      <w:pPr>
        <w:rPr>
          <w:lang w:val="nl-NL"/>
        </w:rPr>
      </w:pPr>
    </w:p>
    <w:p w14:paraId="78E7B678" w14:textId="77777777" w:rsidR="00C47177" w:rsidRPr="00A32388" w:rsidRDefault="00A32388">
      <w:pPr>
        <w:pStyle w:val="Kop3"/>
        <w:numPr>
          <w:ilvl w:val="1"/>
          <w:numId w:val="2"/>
        </w:numPr>
        <w:ind w:left="708" w:hanging="285"/>
        <w:rPr>
          <w:lang w:val="nl-NL"/>
        </w:rPr>
      </w:pPr>
      <w:bookmarkStart w:id="23" w:name="_y9n7lk367wdi" w:colFirst="0" w:colLast="0"/>
      <w:bookmarkEnd w:id="23"/>
      <w:r w:rsidRPr="00A32388">
        <w:rPr>
          <w:lang w:val="nl-NL"/>
        </w:rPr>
        <w:t>Herinrichte</w:t>
      </w:r>
      <w:r w:rsidRPr="00A32388">
        <w:rPr>
          <w:lang w:val="nl-NL"/>
        </w:rPr>
        <w:t xml:space="preserve">n bestaande </w:t>
      </w:r>
      <w:proofErr w:type="gramStart"/>
      <w:r w:rsidRPr="00A32388">
        <w:rPr>
          <w:lang w:val="nl-NL"/>
        </w:rPr>
        <w:t>badkamer /</w:t>
      </w:r>
      <w:proofErr w:type="gramEnd"/>
      <w:r w:rsidRPr="00A32388">
        <w:rPr>
          <w:lang w:val="nl-NL"/>
        </w:rPr>
        <w:t xml:space="preserve"> herinrichten bestaande sanitaire ruimte / bestemmingswijziging: inrichten badkamer in bestaande ruimte / kopen aangepaste woning in functie van rolstoelgebruik &gt; Plaatsen van een verhoogd, verlaagd of </w:t>
      </w:r>
      <w:proofErr w:type="spellStart"/>
      <w:r w:rsidRPr="00A32388">
        <w:rPr>
          <w:lang w:val="nl-NL"/>
        </w:rPr>
        <w:t>onderrijdbaar</w:t>
      </w:r>
      <w:proofErr w:type="spellEnd"/>
      <w:r w:rsidRPr="00A32388">
        <w:rPr>
          <w:lang w:val="nl-NL"/>
        </w:rPr>
        <w:t xml:space="preserve"> bad en afbraakwerk</w:t>
      </w:r>
      <w:r w:rsidRPr="00A32388">
        <w:rPr>
          <w:lang w:val="nl-NL"/>
        </w:rPr>
        <w:t xml:space="preserve">en en Bijbouwen badkamer / bijbouwen badkamer en slaapkamer op het gelijkvloers &gt; Plaatsen van een verhoogd, verlaagd of </w:t>
      </w:r>
      <w:proofErr w:type="spellStart"/>
      <w:r w:rsidRPr="00A32388">
        <w:rPr>
          <w:lang w:val="nl-NL"/>
        </w:rPr>
        <w:t>onderrijdbaar</w:t>
      </w:r>
      <w:proofErr w:type="spellEnd"/>
      <w:r w:rsidRPr="00A32388">
        <w:rPr>
          <w:lang w:val="nl-NL"/>
        </w:rPr>
        <w:t xml:space="preserve"> bad</w:t>
      </w:r>
    </w:p>
    <w:p w14:paraId="6C500902" w14:textId="77777777" w:rsidR="00C47177" w:rsidRPr="00A32388" w:rsidRDefault="00C47177">
      <w:pPr>
        <w:rPr>
          <w:u w:val="single"/>
          <w:lang w:val="nl-NL"/>
        </w:rPr>
      </w:pPr>
    </w:p>
    <w:p w14:paraId="557695D3" w14:textId="77777777" w:rsidR="00C47177" w:rsidRPr="00A32388" w:rsidRDefault="00A32388">
      <w:pPr>
        <w:rPr>
          <w:lang w:val="nl-NL"/>
        </w:rPr>
      </w:pPr>
      <w:r w:rsidRPr="00A32388">
        <w:rPr>
          <w:b/>
          <w:lang w:val="nl-NL"/>
        </w:rPr>
        <w:t>Aanpassing</w:t>
      </w:r>
      <w:r w:rsidRPr="00A32388">
        <w:rPr>
          <w:lang w:val="nl-NL"/>
        </w:rPr>
        <w:t>: aanpassing refertebedrag</w:t>
      </w:r>
    </w:p>
    <w:p w14:paraId="415EA27C" w14:textId="77777777" w:rsidR="00C47177" w:rsidRPr="00A32388" w:rsidRDefault="00C47177">
      <w:pPr>
        <w:rPr>
          <w:lang w:val="nl-NL"/>
        </w:rPr>
      </w:pPr>
    </w:p>
    <w:p w14:paraId="668C38ED" w14:textId="77777777" w:rsidR="00C47177" w:rsidRPr="00A32388" w:rsidRDefault="00A32388">
      <w:pPr>
        <w:spacing w:after="200"/>
        <w:rPr>
          <w:sz w:val="24"/>
          <w:szCs w:val="24"/>
          <w:lang w:val="nl-NL"/>
        </w:rPr>
      </w:pPr>
      <w:r w:rsidRPr="00A32388">
        <w:rPr>
          <w:lang w:val="nl-NL"/>
        </w:rPr>
        <w:t>Het refertebedrag wordt verhoogd tot 2.368,80 euro. Een groot deel van de prij</w:t>
      </w:r>
      <w:r w:rsidRPr="00A32388">
        <w:rPr>
          <w:lang w:val="nl-NL"/>
        </w:rPr>
        <w:t xml:space="preserve">s wordt bepaald door de werken die noodzakelijk zijn om het bad op de juiste hoogte te plaatsen of </w:t>
      </w:r>
      <w:proofErr w:type="spellStart"/>
      <w:r w:rsidRPr="00A32388">
        <w:rPr>
          <w:lang w:val="nl-NL"/>
        </w:rPr>
        <w:t>onderrijdbaar</w:t>
      </w:r>
      <w:proofErr w:type="spellEnd"/>
      <w:r w:rsidRPr="00A32388">
        <w:rPr>
          <w:lang w:val="nl-NL"/>
        </w:rPr>
        <w:t xml:space="preserve"> te maken. De kosten zijn afhankelijk van de situatie en dus variabel. Met de voorgestelde vergoeding wordt hieraan beter tegemoetgekomen. </w:t>
      </w:r>
    </w:p>
    <w:p w14:paraId="2C70B9AF" w14:textId="77777777" w:rsidR="00C47177" w:rsidRPr="00A32388" w:rsidRDefault="00A32388">
      <w:pPr>
        <w:rPr>
          <w:lang w:val="nl-NL"/>
        </w:rPr>
      </w:pPr>
      <w:r w:rsidRPr="00A32388">
        <w:rPr>
          <w:lang w:val="nl-NL"/>
        </w:rPr>
        <w:t xml:space="preserve">Als </w:t>
      </w:r>
      <w:r w:rsidRPr="00A32388">
        <w:rPr>
          <w:lang w:val="nl-NL"/>
        </w:rPr>
        <w:t xml:space="preserve">u vragen heeft over deze wijzigingen, dan kunt u contact opnemen met het VAPH via de contactgegevens bovenaan deze infonota. </w:t>
      </w:r>
    </w:p>
    <w:p w14:paraId="7B904364" w14:textId="77777777" w:rsidR="00C47177" w:rsidRPr="00A32388" w:rsidRDefault="00C47177">
      <w:pPr>
        <w:widowControl w:val="0"/>
        <w:pBdr>
          <w:top w:val="nil"/>
          <w:left w:val="nil"/>
          <w:bottom w:val="nil"/>
          <w:right w:val="nil"/>
          <w:between w:val="nil"/>
        </w:pBdr>
        <w:rPr>
          <w:lang w:val="nl-NL"/>
        </w:rPr>
      </w:pPr>
    </w:p>
    <w:p w14:paraId="687644D8" w14:textId="77777777" w:rsidR="00C47177" w:rsidRPr="00A32388" w:rsidRDefault="00C47177">
      <w:pPr>
        <w:widowControl w:val="0"/>
        <w:pBdr>
          <w:top w:val="nil"/>
          <w:left w:val="nil"/>
          <w:bottom w:val="nil"/>
          <w:right w:val="nil"/>
          <w:between w:val="nil"/>
        </w:pBdr>
        <w:rPr>
          <w:lang w:val="nl-NL"/>
        </w:rPr>
      </w:pPr>
    </w:p>
    <w:p w14:paraId="1C3BF381" w14:textId="77777777" w:rsidR="00C47177" w:rsidRPr="00A32388" w:rsidRDefault="00C47177">
      <w:pPr>
        <w:widowControl w:val="0"/>
        <w:pBdr>
          <w:top w:val="nil"/>
          <w:left w:val="nil"/>
          <w:bottom w:val="nil"/>
          <w:right w:val="nil"/>
          <w:between w:val="nil"/>
        </w:pBdr>
        <w:rPr>
          <w:lang w:val="nl-NL"/>
        </w:rPr>
      </w:pPr>
    </w:p>
    <w:p w14:paraId="42F957F5" w14:textId="77777777" w:rsidR="00C47177" w:rsidRPr="00A32388" w:rsidRDefault="00C47177">
      <w:pPr>
        <w:widowControl w:val="0"/>
        <w:pBdr>
          <w:top w:val="nil"/>
          <w:left w:val="nil"/>
          <w:bottom w:val="nil"/>
          <w:right w:val="nil"/>
          <w:between w:val="nil"/>
        </w:pBdr>
        <w:rPr>
          <w:lang w:val="nl-NL"/>
        </w:rPr>
      </w:pPr>
    </w:p>
    <w:p w14:paraId="72B01F67" w14:textId="77777777" w:rsidR="00C47177" w:rsidRPr="00A32388" w:rsidRDefault="00C47177">
      <w:pPr>
        <w:widowControl w:val="0"/>
        <w:pBdr>
          <w:top w:val="nil"/>
          <w:left w:val="nil"/>
          <w:bottom w:val="nil"/>
          <w:right w:val="nil"/>
          <w:between w:val="nil"/>
        </w:pBdr>
        <w:rPr>
          <w:lang w:val="nl-NL"/>
        </w:rPr>
      </w:pPr>
    </w:p>
    <w:p w14:paraId="69B1A49B" w14:textId="77777777" w:rsidR="00C47177" w:rsidRPr="00A32388" w:rsidRDefault="00C47177">
      <w:pPr>
        <w:widowControl w:val="0"/>
        <w:pBdr>
          <w:top w:val="nil"/>
          <w:left w:val="nil"/>
          <w:bottom w:val="nil"/>
          <w:right w:val="nil"/>
          <w:between w:val="nil"/>
        </w:pBdr>
        <w:rPr>
          <w:lang w:val="nl-NL"/>
        </w:rPr>
      </w:pPr>
    </w:p>
    <w:p w14:paraId="5F04C79E" w14:textId="77777777" w:rsidR="00C47177" w:rsidRPr="00A32388" w:rsidRDefault="00A32388">
      <w:pPr>
        <w:widowControl w:val="0"/>
        <w:pBdr>
          <w:top w:val="nil"/>
          <w:left w:val="nil"/>
          <w:bottom w:val="nil"/>
          <w:right w:val="nil"/>
          <w:between w:val="nil"/>
        </w:pBdr>
        <w:rPr>
          <w:lang w:val="nl-NL"/>
        </w:rPr>
      </w:pPr>
      <w:r w:rsidRPr="00A32388">
        <w:rPr>
          <w:lang w:val="nl-NL"/>
        </w:rPr>
        <w:t>James Van Casteren</w:t>
      </w:r>
    </w:p>
    <w:p w14:paraId="556AD529" w14:textId="77777777" w:rsidR="00C47177" w:rsidRPr="00A32388" w:rsidRDefault="00A32388">
      <w:pPr>
        <w:widowControl w:val="0"/>
        <w:pBdr>
          <w:top w:val="nil"/>
          <w:left w:val="nil"/>
          <w:bottom w:val="nil"/>
          <w:right w:val="nil"/>
          <w:between w:val="nil"/>
        </w:pBdr>
        <w:rPr>
          <w:i/>
          <w:lang w:val="nl-NL"/>
        </w:rPr>
      </w:pPr>
      <w:r w:rsidRPr="00A32388">
        <w:rPr>
          <w:lang w:val="nl-NL"/>
        </w:rPr>
        <w:t>Administrateur-generaal</w:t>
      </w:r>
    </w:p>
    <w:sectPr w:rsidR="00C47177" w:rsidRPr="00A32388">
      <w:footerReference w:type="default" r:id="rId8"/>
      <w:headerReference w:type="first" r:id="rId9"/>
      <w:footerReference w:type="first" r:id="rId10"/>
      <w:pgSz w:w="11906" w:h="16838"/>
      <w:pgMar w:top="1133" w:right="1133" w:bottom="1870" w:left="992" w:header="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749" w14:textId="77777777" w:rsidR="00000000" w:rsidRDefault="00A32388">
      <w:pPr>
        <w:spacing w:line="240" w:lineRule="auto"/>
      </w:pPr>
      <w:r>
        <w:separator/>
      </w:r>
    </w:p>
  </w:endnote>
  <w:endnote w:type="continuationSeparator" w:id="0">
    <w:p w14:paraId="1542AB35" w14:textId="77777777" w:rsidR="00000000" w:rsidRDefault="00A32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F0D6" w14:textId="77777777" w:rsidR="00C47177" w:rsidRDefault="00A32388">
    <w:pPr>
      <w:jc w:val="right"/>
    </w:pPr>
    <w:r>
      <w:fldChar w:fldCharType="begin"/>
    </w:r>
    <w:r>
      <w:instrText>PAGE</w:instrText>
    </w:r>
    <w:r>
      <w:fldChar w:fldCharType="separate"/>
    </w:r>
    <w:r w:rsidR="006F2AF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6CDB" w14:textId="77777777" w:rsidR="00C47177" w:rsidRDefault="00C47177">
    <w:pPr>
      <w:pBdr>
        <w:top w:val="nil"/>
        <w:left w:val="nil"/>
        <w:bottom w:val="nil"/>
        <w:right w:val="nil"/>
        <w:between w:val="nil"/>
      </w:pBdr>
    </w:pPr>
  </w:p>
  <w:p w14:paraId="31E3E719" w14:textId="77777777" w:rsidR="00C47177" w:rsidRDefault="00A32388">
    <w:pPr>
      <w:pBdr>
        <w:top w:val="nil"/>
        <w:left w:val="nil"/>
        <w:bottom w:val="nil"/>
        <w:right w:val="nil"/>
        <w:between w:val="nil"/>
      </w:pBdr>
    </w:pPr>
    <w:r>
      <w:rPr>
        <w:noProof/>
      </w:rPr>
      <w:drawing>
        <wp:inline distT="114300" distB="114300" distL="114300" distR="114300" wp14:anchorId="50492FC8" wp14:editId="22BAE57F">
          <wp:extent cx="1364840" cy="566738"/>
          <wp:effectExtent l="0" t="0" r="0" b="0"/>
          <wp:docPr id="2" name="image1.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1.png" descr="logo_vlaanderen-is-welzijn_word_300dpi.png"/>
                  <pic:cNvPicPr preferRelativeResize="0"/>
                </pic:nvPicPr>
                <pic:blipFill>
                  <a:blip r:embed="rId1"/>
                  <a:srcRect/>
                  <a:stretch>
                    <a:fillRect/>
                  </a:stretch>
                </pic:blipFill>
                <pic:spPr>
                  <a:xfrm>
                    <a:off x="0" y="0"/>
                    <a:ext cx="1364840" cy="566738"/>
                  </a:xfrm>
                  <a:prstGeom prst="rect">
                    <a:avLst/>
                  </a:prstGeom>
                  <a:ln/>
                </pic:spPr>
              </pic:pic>
            </a:graphicData>
          </a:graphic>
        </wp:inline>
      </w:drawing>
    </w:r>
    <w:r>
      <w:tab/>
    </w:r>
    <w:r>
      <w:tab/>
    </w:r>
    <w:r>
      <w:tab/>
    </w:r>
    <w:r>
      <w:tab/>
    </w:r>
    <w:r>
      <w:tab/>
    </w:r>
    <w:r>
      <w:tab/>
    </w:r>
    <w:r>
      <w:tab/>
    </w:r>
    <w:proofErr w:type="spellStart"/>
    <w:r>
      <w:t>Pagina</w:t>
    </w:r>
    <w:proofErr w:type="spellEnd"/>
    <w:r>
      <w:t xml:space="preserve"> </w:t>
    </w:r>
    <w:r>
      <w:fldChar w:fldCharType="begin"/>
    </w:r>
    <w:r>
      <w:instrText>PAGE</w:instrText>
    </w:r>
    <w:r>
      <w:fldChar w:fldCharType="separate"/>
    </w:r>
    <w:r w:rsidR="006F2AFE">
      <w:rPr>
        <w:noProof/>
      </w:rPr>
      <w:t>0</w:t>
    </w:r>
    <w:r>
      <w:fldChar w:fldCharType="end"/>
    </w:r>
    <w:r>
      <w:t xml:space="preserve"> van </w:t>
    </w:r>
    <w:r>
      <w:fldChar w:fldCharType="begin"/>
    </w:r>
    <w:r>
      <w:instrText>NUMPAGES</w:instrText>
    </w:r>
    <w:r>
      <w:fldChar w:fldCharType="separate"/>
    </w:r>
    <w:r w:rsidR="006F2A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36B4" w14:textId="77777777" w:rsidR="00000000" w:rsidRDefault="00A32388">
      <w:pPr>
        <w:spacing w:line="240" w:lineRule="auto"/>
      </w:pPr>
      <w:r>
        <w:separator/>
      </w:r>
    </w:p>
  </w:footnote>
  <w:footnote w:type="continuationSeparator" w:id="0">
    <w:p w14:paraId="4DAF94D4" w14:textId="77777777" w:rsidR="00000000" w:rsidRDefault="00A32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D7C7" w14:textId="77777777" w:rsidR="00C47177" w:rsidRDefault="00C471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801"/>
    <w:multiLevelType w:val="multilevel"/>
    <w:tmpl w:val="7AB4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65DA5"/>
    <w:multiLevelType w:val="multilevel"/>
    <w:tmpl w:val="A05C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5F11CC"/>
    <w:multiLevelType w:val="multilevel"/>
    <w:tmpl w:val="D14E4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3068C1"/>
    <w:multiLevelType w:val="multilevel"/>
    <w:tmpl w:val="280A8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F42F1D"/>
    <w:multiLevelType w:val="multilevel"/>
    <w:tmpl w:val="36E2C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D93A1E"/>
    <w:multiLevelType w:val="multilevel"/>
    <w:tmpl w:val="BE100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0C7E01"/>
    <w:multiLevelType w:val="multilevel"/>
    <w:tmpl w:val="6628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4321F6"/>
    <w:multiLevelType w:val="multilevel"/>
    <w:tmpl w:val="3EF0D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D84289"/>
    <w:multiLevelType w:val="multilevel"/>
    <w:tmpl w:val="7F5E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47716D"/>
    <w:multiLevelType w:val="multilevel"/>
    <w:tmpl w:val="7626EFFC"/>
    <w:lvl w:ilvl="0">
      <w:start w:val="1"/>
      <w:numFmt w:val="decimal"/>
      <w:lvlText w:val="%1."/>
      <w:lvlJc w:val="right"/>
      <w:pPr>
        <w:ind w:left="720" w:hanging="360"/>
      </w:pPr>
      <w:rPr>
        <w:u w:val="none"/>
      </w:rPr>
    </w:lvl>
    <w:lvl w:ilvl="1">
      <w:start w:val="1"/>
      <w:numFmt w:val="decimal"/>
      <w:lvlText w:val="%1.%2."/>
      <w:lvlJc w:val="right"/>
      <w:pPr>
        <w:ind w:left="1440" w:hanging="1156"/>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E473AD3"/>
    <w:multiLevelType w:val="multilevel"/>
    <w:tmpl w:val="FB28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
  </w:num>
  <w:num w:numId="4">
    <w:abstractNumId w:val="4"/>
  </w:num>
  <w:num w:numId="5">
    <w:abstractNumId w:val="0"/>
  </w:num>
  <w:num w:numId="6">
    <w:abstractNumId w:val="8"/>
  </w:num>
  <w:num w:numId="7">
    <w:abstractNumId w:val="10"/>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77"/>
    <w:rsid w:val="006F2AFE"/>
    <w:rsid w:val="00A32388"/>
    <w:rsid w:val="00C47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8097"/>
  <w15:docId w15:val="{8C27F0FF-79F7-4A34-81A1-300114C4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outlineLvl w:val="0"/>
    </w:pPr>
    <w:rPr>
      <w:b/>
      <w:sz w:val="38"/>
      <w:szCs w:val="38"/>
    </w:rPr>
  </w:style>
  <w:style w:type="paragraph" w:styleId="Kop2">
    <w:name w:val="heading 2"/>
    <w:basedOn w:val="Standaard"/>
    <w:next w:val="Standaard"/>
    <w:uiPriority w:val="9"/>
    <w:unhideWhenUsed/>
    <w:qFormat/>
    <w:pPr>
      <w:keepNext/>
      <w:keepLines/>
      <w:outlineLvl w:val="1"/>
    </w:pPr>
    <w:rPr>
      <w:b/>
      <w:sz w:val="34"/>
      <w:szCs w:val="34"/>
    </w:rPr>
  </w:style>
  <w:style w:type="paragraph" w:styleId="Kop3">
    <w:name w:val="heading 3"/>
    <w:basedOn w:val="Standaard"/>
    <w:next w:val="Standaard"/>
    <w:uiPriority w:val="9"/>
    <w:unhideWhenUsed/>
    <w:qFormat/>
    <w:pPr>
      <w:keepNext/>
      <w:keepLines/>
      <w:outlineLvl w:val="2"/>
    </w:pPr>
    <w:rPr>
      <w:b/>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color w:val="9D1A53"/>
      <w:sz w:val="52"/>
      <w:szCs w:val="52"/>
    </w:rPr>
  </w:style>
  <w:style w:type="paragraph" w:styleId="Ondertitel">
    <w:name w:val="Subtitle"/>
    <w:basedOn w:val="Standaard"/>
    <w:next w:val="Standaard"/>
    <w:uiPriority w:val="11"/>
    <w:qFormat/>
    <w:pPr>
      <w:keepNext/>
      <w:keepLines/>
    </w:pPr>
    <w:rPr>
      <w:color w:val="9D1A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A3238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2388"/>
  </w:style>
  <w:style w:type="paragraph" w:styleId="Voettekst">
    <w:name w:val="footer"/>
    <w:basedOn w:val="Standaard"/>
    <w:link w:val="VoettekstChar"/>
    <w:uiPriority w:val="99"/>
    <w:unhideWhenUsed/>
    <w:rsid w:val="00A323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2119</Words>
  <Characters>11660</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Roose</dc:creator>
  <cp:lastModifiedBy>Eva Roose</cp:lastModifiedBy>
  <cp:revision>2</cp:revision>
  <dcterms:created xsi:type="dcterms:W3CDTF">2024-09-02T10:48:00Z</dcterms:created>
  <dcterms:modified xsi:type="dcterms:W3CDTF">2024-09-02T10:48:00Z</dcterms:modified>
</cp:coreProperties>
</file>