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63666" w14:textId="77777777" w:rsidR="00194149" w:rsidRDefault="00194149"/>
    <w:tbl>
      <w:tblPr>
        <w:tblStyle w:val="a1"/>
        <w:tblW w:w="8790" w:type="dxa"/>
        <w:tblInd w:w="90" w:type="dxa"/>
        <w:tblLayout w:type="fixed"/>
        <w:tblLook w:val="0600" w:firstRow="0" w:lastRow="0" w:firstColumn="0" w:lastColumn="0" w:noHBand="1" w:noVBand="1"/>
      </w:tblPr>
      <w:tblGrid>
        <w:gridCol w:w="2400"/>
        <w:gridCol w:w="6390"/>
      </w:tblGrid>
      <w:tr w:rsidR="00194149" w14:paraId="39CEDC5D" w14:textId="77777777">
        <w:tc>
          <w:tcPr>
            <w:tcW w:w="2400" w:type="dxa"/>
            <w:vMerge w:val="restart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E80E1FF" w14:textId="77777777" w:rsidR="00194149" w:rsidRDefault="00A63A78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C5F4DE3" wp14:editId="4F3BE923">
                  <wp:extent cx="1405278" cy="642938"/>
                  <wp:effectExtent l="0" t="0" r="0" b="0"/>
                  <wp:docPr id="1" name="image1.png" descr="logo_vaph_word_300dp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_vaph_word_300dpi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78" cy="642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6ADD83" w14:textId="77777777" w:rsidR="00194149" w:rsidRDefault="00194149">
            <w:pPr>
              <w:widowControl w:val="0"/>
              <w:spacing w:line="240" w:lineRule="auto"/>
            </w:pPr>
          </w:p>
          <w:p w14:paraId="3BC0B751" w14:textId="77777777" w:rsidR="00194149" w:rsidRDefault="00A63A78">
            <w:pPr>
              <w:widowControl w:val="0"/>
              <w:spacing w:line="240" w:lineRule="auto"/>
              <w:rPr>
                <w:color w:val="666666"/>
              </w:rPr>
            </w:pPr>
            <w:proofErr w:type="spellStart"/>
            <w:r>
              <w:rPr>
                <w:color w:val="666666"/>
              </w:rPr>
              <w:t>Zenithgebouw</w:t>
            </w:r>
            <w:proofErr w:type="spellEnd"/>
          </w:p>
          <w:p w14:paraId="6B457843" w14:textId="77777777" w:rsidR="00194149" w:rsidRDefault="00A63A78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Koning Albert II-</w:t>
            </w:r>
            <w:proofErr w:type="spellStart"/>
            <w:r>
              <w:rPr>
                <w:color w:val="666666"/>
              </w:rPr>
              <w:t>laan</w:t>
            </w:r>
            <w:proofErr w:type="spellEnd"/>
            <w:r>
              <w:rPr>
                <w:color w:val="666666"/>
              </w:rPr>
              <w:t xml:space="preserve"> 37</w:t>
            </w:r>
            <w:r>
              <w:rPr>
                <w:color w:val="666666"/>
              </w:rPr>
              <w:br/>
              <w:t>1030 BRUSSEL</w:t>
            </w:r>
          </w:p>
          <w:p w14:paraId="63239A60" w14:textId="77777777" w:rsidR="00194149" w:rsidRDefault="00A63A78">
            <w:pPr>
              <w:widowControl w:val="0"/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7E62E6A" w14:textId="77777777" w:rsidR="00194149" w:rsidRDefault="00194149">
            <w:pPr>
              <w:widowControl w:val="0"/>
              <w:jc w:val="right"/>
              <w:rPr>
                <w:b/>
                <w:sz w:val="36"/>
                <w:szCs w:val="36"/>
              </w:rPr>
            </w:pPr>
          </w:p>
          <w:p w14:paraId="048F74AC" w14:textId="77777777" w:rsidR="00194149" w:rsidRDefault="00194149">
            <w:pPr>
              <w:widowControl w:val="0"/>
              <w:jc w:val="right"/>
              <w:rPr>
                <w:b/>
                <w:sz w:val="36"/>
                <w:szCs w:val="36"/>
              </w:rPr>
            </w:pPr>
          </w:p>
          <w:p w14:paraId="0E7BAE00" w14:textId="77777777" w:rsidR="00194149" w:rsidRDefault="00A63A78">
            <w:pPr>
              <w:widowControl w:val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INFONOTA</w:t>
            </w:r>
          </w:p>
        </w:tc>
      </w:tr>
      <w:tr w:rsidR="00194149" w14:paraId="04024781" w14:textId="77777777"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B5A0" w14:textId="77777777" w:rsidR="00194149" w:rsidRDefault="00194149">
            <w:pPr>
              <w:widowControl w:val="0"/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D8C8CCC" w14:textId="77777777" w:rsidR="00194149" w:rsidRDefault="00A63A78">
            <w:pPr>
              <w:widowControl w:val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Aan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diensten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ondersteuningsplan</w:t>
            </w:r>
            <w:proofErr w:type="spellEnd"/>
            <w:r>
              <w:rPr>
                <w:sz w:val="26"/>
                <w:szCs w:val="26"/>
              </w:rPr>
              <w:t xml:space="preserve"> (DOP), </w:t>
            </w:r>
            <w:proofErr w:type="spellStart"/>
            <w:r>
              <w:rPr>
                <w:sz w:val="26"/>
                <w:szCs w:val="26"/>
              </w:rPr>
              <w:t>multidisciplinaire</w:t>
            </w:r>
            <w:proofErr w:type="spellEnd"/>
            <w:r>
              <w:rPr>
                <w:sz w:val="26"/>
                <w:szCs w:val="26"/>
              </w:rPr>
              <w:t xml:space="preserve"> teams (MDT), </w:t>
            </w:r>
            <w:proofErr w:type="spellStart"/>
            <w:r>
              <w:rPr>
                <w:sz w:val="26"/>
                <w:szCs w:val="26"/>
              </w:rPr>
              <w:t>gebruikersverenigingen</w:t>
            </w:r>
            <w:proofErr w:type="spellEnd"/>
            <w:r>
              <w:rPr>
                <w:sz w:val="26"/>
                <w:szCs w:val="26"/>
              </w:rPr>
              <w:t xml:space="preserve"> met </w:t>
            </w:r>
            <w:proofErr w:type="spellStart"/>
            <w:r>
              <w:rPr>
                <w:sz w:val="26"/>
                <w:szCs w:val="26"/>
              </w:rPr>
              <w:t>informatieloket</w:t>
            </w:r>
            <w:proofErr w:type="spellEnd"/>
          </w:p>
        </w:tc>
      </w:tr>
      <w:tr w:rsidR="00194149" w14:paraId="4FED9A21" w14:textId="77777777"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C7B9" w14:textId="77777777" w:rsidR="00194149" w:rsidRDefault="00194149">
            <w:pPr>
              <w:widowControl w:val="0"/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263F654" w14:textId="77777777" w:rsidR="00194149" w:rsidRDefault="00A63A78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>14/08/2024</w:t>
            </w:r>
          </w:p>
        </w:tc>
      </w:tr>
      <w:tr w:rsidR="00194149" w14:paraId="10B67659" w14:textId="77777777"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C4DF" w14:textId="77777777" w:rsidR="00194149" w:rsidRDefault="00194149">
            <w:pPr>
              <w:widowControl w:val="0"/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8138A89" w14:textId="77777777" w:rsidR="00194149" w:rsidRDefault="00A63A78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>INF/24/15</w:t>
            </w:r>
          </w:p>
        </w:tc>
      </w:tr>
      <w:tr w:rsidR="00194149" w14:paraId="426039C2" w14:textId="77777777">
        <w:tc>
          <w:tcPr>
            <w:tcW w:w="24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E7003C" w14:textId="77777777" w:rsidR="00194149" w:rsidRDefault="00A63A78">
            <w:pPr>
              <w:widowControl w:val="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3300D7B6" w14:textId="77777777" w:rsidR="00194149" w:rsidRDefault="00A63A78">
            <w:pPr>
              <w:widowControl w:val="0"/>
            </w:pPr>
            <w:proofErr w:type="spellStart"/>
            <w:r>
              <w:t>Afdeling</w:t>
            </w:r>
            <w:proofErr w:type="spellEnd"/>
            <w:r>
              <w:t xml:space="preserve"> </w:t>
            </w:r>
            <w:proofErr w:type="spellStart"/>
            <w:r>
              <w:t>toeleiding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hulpmiddelen</w:t>
            </w:r>
            <w:proofErr w:type="spellEnd"/>
          </w:p>
        </w:tc>
      </w:tr>
      <w:tr w:rsidR="00194149" w14:paraId="2F47C725" w14:textId="77777777">
        <w:tc>
          <w:tcPr>
            <w:tcW w:w="24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949CC0" w14:textId="77777777" w:rsidR="00194149" w:rsidRDefault="00A63A78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604E19FC" w14:textId="77777777" w:rsidR="00194149" w:rsidRDefault="00A63A78">
            <w:pPr>
              <w:spacing w:line="240" w:lineRule="auto"/>
            </w:pPr>
            <w:r>
              <w:t>toeleiding@vaph.be</w:t>
            </w:r>
          </w:p>
        </w:tc>
      </w:tr>
      <w:tr w:rsidR="00194149" w14:paraId="3E981388" w14:textId="77777777">
        <w:tc>
          <w:tcPr>
            <w:tcW w:w="879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FAF9946" w14:textId="77777777" w:rsidR="00194149" w:rsidRDefault="00194149">
            <w:pPr>
              <w:widowControl w:val="0"/>
              <w:rPr>
                <w:sz w:val="34"/>
                <w:szCs w:val="34"/>
              </w:rPr>
            </w:pPr>
          </w:p>
        </w:tc>
      </w:tr>
      <w:tr w:rsidR="00194149" w14:paraId="7D2A9EA0" w14:textId="77777777">
        <w:tc>
          <w:tcPr>
            <w:tcW w:w="879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B32210B" w14:textId="77777777" w:rsidR="00194149" w:rsidRDefault="00A63A78">
            <w:pPr>
              <w:widowControl w:val="0"/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t>Aanpassing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regelgeving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i.h.k.v</w:t>
            </w:r>
            <w:proofErr w:type="spellEnd"/>
            <w:r>
              <w:rPr>
                <w:sz w:val="34"/>
                <w:szCs w:val="34"/>
              </w:rPr>
              <w:t xml:space="preserve">. de </w:t>
            </w:r>
            <w:proofErr w:type="spellStart"/>
            <w:r>
              <w:rPr>
                <w:sz w:val="34"/>
                <w:szCs w:val="34"/>
              </w:rPr>
              <w:t>afwijkende</w:t>
            </w:r>
            <w:proofErr w:type="spellEnd"/>
            <w:r>
              <w:rPr>
                <w:sz w:val="34"/>
                <w:szCs w:val="34"/>
              </w:rPr>
              <w:t xml:space="preserve"> procedure </w:t>
            </w:r>
            <w:proofErr w:type="spellStart"/>
            <w:r>
              <w:rPr>
                <w:sz w:val="34"/>
                <w:szCs w:val="34"/>
              </w:rPr>
              <w:t>artikel</w:t>
            </w:r>
            <w:proofErr w:type="spellEnd"/>
            <w:r>
              <w:rPr>
                <w:sz w:val="34"/>
                <w:szCs w:val="34"/>
              </w:rPr>
              <w:t xml:space="preserve"> 6bis</w:t>
            </w:r>
          </w:p>
        </w:tc>
      </w:tr>
      <w:tr w:rsidR="00194149" w14:paraId="1216DB68" w14:textId="77777777">
        <w:tc>
          <w:tcPr>
            <w:tcW w:w="879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714553C" w14:textId="77777777" w:rsidR="00194149" w:rsidRDefault="00A63A7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1EBDAE2" w14:textId="77777777" w:rsidR="00194149" w:rsidRDefault="00A63A78">
      <w:pPr>
        <w:spacing w:after="200"/>
      </w:pPr>
      <w:r>
        <w:t xml:space="preserve">Als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beschikt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attest </w:t>
      </w:r>
      <w:proofErr w:type="spellStart"/>
      <w:r>
        <w:t>waaruit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blijkt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instantie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handicap al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vastgesteld</w:t>
      </w:r>
      <w:proofErr w:type="spellEnd"/>
      <w:r>
        <w:t xml:space="preserve">, dan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beroep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afwijkende</w:t>
      </w:r>
      <w:proofErr w:type="spellEnd"/>
      <w:r>
        <w:t xml:space="preserve"> procedure (procedure </w:t>
      </w:r>
      <w:proofErr w:type="spellStart"/>
      <w:r>
        <w:t>artikel</w:t>
      </w:r>
      <w:proofErr w:type="spellEnd"/>
      <w:r>
        <w:t xml:space="preserve"> 6 bis). </w:t>
      </w:r>
      <w:proofErr w:type="spellStart"/>
      <w:r>
        <w:t>Concreet</w:t>
      </w:r>
      <w:proofErr w:type="spellEnd"/>
      <w: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VAPH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</w:t>
      </w:r>
      <w:r>
        <w:t>eer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uitspreken</w:t>
      </w:r>
      <w:proofErr w:type="spellEnd"/>
      <w:r>
        <w:t xml:space="preserve"> over de </w:t>
      </w:r>
      <w:proofErr w:type="spellStart"/>
      <w:r>
        <w:t>erkenning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handicap, maar de </w:t>
      </w:r>
      <w:proofErr w:type="spellStart"/>
      <w:r>
        <w:t>persoon</w:t>
      </w:r>
      <w:proofErr w:type="spellEnd"/>
      <w:r>
        <w:t xml:space="preserve"> op basis van </w:t>
      </w:r>
      <w:proofErr w:type="spellStart"/>
      <w:r>
        <w:t>een</w:t>
      </w:r>
      <w:proofErr w:type="spellEnd"/>
      <w:r>
        <w:t xml:space="preserve"> attest </w:t>
      </w:r>
      <w:proofErr w:type="spellStart"/>
      <w:r>
        <w:t>automatisch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handicap. De </w:t>
      </w:r>
      <w:proofErr w:type="spellStart"/>
      <w:r>
        <w:t>regelgeving</w:t>
      </w:r>
      <w:proofErr w:type="spellEnd"/>
      <w:r>
        <w:t xml:space="preserve"> </w:t>
      </w:r>
      <w:proofErr w:type="spellStart"/>
      <w:r>
        <w:t>daarover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geactualiseerd</w:t>
      </w:r>
      <w:proofErr w:type="spellEnd"/>
      <w:r>
        <w:t xml:space="preserve">.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de </w:t>
      </w:r>
      <w:proofErr w:type="spellStart"/>
      <w:r>
        <w:t>lijst</w:t>
      </w:r>
      <w:proofErr w:type="spellEnd"/>
      <w:r>
        <w:t xml:space="preserve"> met </w:t>
      </w:r>
      <w:proofErr w:type="spellStart"/>
      <w:r>
        <w:t>attesten</w:t>
      </w:r>
      <w:proofErr w:type="spellEnd"/>
      <w:r>
        <w:t xml:space="preserve"> die in </w:t>
      </w:r>
      <w:proofErr w:type="spellStart"/>
      <w:r>
        <w:t>aanmerk</w:t>
      </w:r>
      <w:r>
        <w:t>ing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vereenvoudigd</w:t>
      </w:r>
      <w:proofErr w:type="spellEnd"/>
      <w:r>
        <w:t>:</w:t>
      </w:r>
    </w:p>
    <w:p w14:paraId="2038C920" w14:textId="77777777" w:rsidR="00194149" w:rsidRDefault="00A63A78">
      <w:pPr>
        <w:numPr>
          <w:ilvl w:val="0"/>
          <w:numId w:val="2"/>
        </w:numPr>
      </w:pPr>
      <w:r>
        <w:t xml:space="preserve">attest </w:t>
      </w:r>
      <w:proofErr w:type="spellStart"/>
      <w:r>
        <w:t>integratietegemoetkoming</w:t>
      </w:r>
      <w:proofErr w:type="spellEnd"/>
      <w:r>
        <w:t xml:space="preserve"> van </w:t>
      </w:r>
      <w:proofErr w:type="spellStart"/>
      <w:r>
        <w:t>onbepaalde</w:t>
      </w:r>
      <w:proofErr w:type="spellEnd"/>
      <w:r>
        <w:t xml:space="preserve"> </w:t>
      </w:r>
      <w:proofErr w:type="spellStart"/>
      <w:r>
        <w:t>duur</w:t>
      </w:r>
      <w:proofErr w:type="spellEnd"/>
      <w:r>
        <w:t xml:space="preserve"> met </w:t>
      </w:r>
      <w:proofErr w:type="spellStart"/>
      <w:r>
        <w:t>minstens</w:t>
      </w:r>
      <w:proofErr w:type="spellEnd"/>
      <w:r>
        <w:t xml:space="preserve"> 12 </w:t>
      </w:r>
      <w:proofErr w:type="spellStart"/>
      <w:r>
        <w:t>punten</w:t>
      </w:r>
      <w:proofErr w:type="spellEnd"/>
      <w:r>
        <w:t xml:space="preserve"> of </w:t>
      </w:r>
      <w:proofErr w:type="spellStart"/>
      <w:r>
        <w:t>minstens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3  </w:t>
      </w:r>
    </w:p>
    <w:p w14:paraId="3D888CDE" w14:textId="77777777" w:rsidR="00194149" w:rsidRDefault="00A63A78">
      <w:pPr>
        <w:numPr>
          <w:ilvl w:val="0"/>
          <w:numId w:val="2"/>
        </w:numPr>
      </w:pPr>
      <w:r>
        <w:t xml:space="preserve">attest </w:t>
      </w:r>
      <w:proofErr w:type="spellStart"/>
      <w:r>
        <w:t>groeipakket</w:t>
      </w:r>
      <w:proofErr w:type="spellEnd"/>
      <w:r>
        <w:t xml:space="preserve"> met </w:t>
      </w:r>
      <w:proofErr w:type="spellStart"/>
      <w:r>
        <w:t>minstens</w:t>
      </w:r>
      <w:proofErr w:type="spellEnd"/>
      <w:r>
        <w:t xml:space="preserve"> 18 </w:t>
      </w:r>
      <w:proofErr w:type="spellStart"/>
      <w:r>
        <w:t>punten</w:t>
      </w:r>
      <w:proofErr w:type="spellEnd"/>
      <w:r>
        <w:t xml:space="preserve"> op de </w:t>
      </w:r>
      <w:proofErr w:type="spellStart"/>
      <w:r>
        <w:t>medisch-sociale</w:t>
      </w:r>
      <w:proofErr w:type="spellEnd"/>
      <w:r>
        <w:t xml:space="preserve"> </w:t>
      </w:r>
      <w:proofErr w:type="spellStart"/>
      <w:r>
        <w:t>schaal</w:t>
      </w:r>
      <w:proofErr w:type="spellEnd"/>
      <w:r>
        <w:t xml:space="preserve"> (KB 28/3/2003)   </w:t>
      </w:r>
    </w:p>
    <w:p w14:paraId="3A90FBFD" w14:textId="77777777" w:rsidR="00194149" w:rsidRDefault="00A63A78">
      <w:pPr>
        <w:numPr>
          <w:ilvl w:val="0"/>
          <w:numId w:val="2"/>
        </w:numPr>
        <w:spacing w:after="200"/>
      </w:pPr>
      <w:proofErr w:type="spellStart"/>
      <w:r>
        <w:t>bewijs</w:t>
      </w:r>
      <w:proofErr w:type="spellEnd"/>
      <w:r>
        <w:t xml:space="preserve"> van </w:t>
      </w:r>
      <w:proofErr w:type="spellStart"/>
      <w:r>
        <w:t>toegang</w:t>
      </w:r>
      <w:proofErr w:type="spellEnd"/>
      <w:r>
        <w:t xml:space="preserve"> tot het </w:t>
      </w:r>
      <w:proofErr w:type="spellStart"/>
      <w:r>
        <w:t>b</w:t>
      </w:r>
      <w:r>
        <w:t>uitengewoon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OV1 of OV2</w:t>
      </w:r>
    </w:p>
    <w:p w14:paraId="671FDC7E" w14:textId="77777777" w:rsidR="00194149" w:rsidRDefault="00A63A78">
      <w:pPr>
        <w:spacing w:after="200"/>
      </w:pPr>
      <w:r>
        <w:t xml:space="preserve">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werkwijze</w:t>
      </w:r>
      <w:proofErr w:type="spellEnd"/>
      <w:r>
        <w:t xml:space="preserve"> is van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alle modules A die </w:t>
      </w:r>
      <w:proofErr w:type="spellStart"/>
      <w:r>
        <w:t>ingediend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23 </w:t>
      </w:r>
      <w:proofErr w:type="spellStart"/>
      <w:r>
        <w:t>augustus</w:t>
      </w:r>
      <w:proofErr w:type="spellEnd"/>
      <w:r>
        <w:t xml:space="preserve">. De </w:t>
      </w:r>
      <w:hyperlink r:id="rId8">
        <w:r>
          <w:rPr>
            <w:color w:val="1155CC"/>
            <w:u w:val="single"/>
          </w:rPr>
          <w:t>website</w:t>
        </w:r>
      </w:hyperlink>
      <w:r>
        <w:t xml:space="preserve"> </w:t>
      </w:r>
      <w:proofErr w:type="spellStart"/>
      <w:r>
        <w:t>en</w:t>
      </w:r>
      <w:proofErr w:type="spellEnd"/>
      <w:r>
        <w:t xml:space="preserve"> module A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 xml:space="preserve">.  </w:t>
      </w:r>
    </w:p>
    <w:p w14:paraId="4C5AC7D5" w14:textId="77777777" w:rsidR="00194149" w:rsidRDefault="00A63A78">
      <w:pPr>
        <w:spacing w:after="200"/>
      </w:pPr>
      <w:proofErr w:type="spellStart"/>
      <w:r>
        <w:t>Hieronder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toegelicht</w:t>
      </w:r>
      <w:proofErr w:type="spellEnd"/>
      <w:r>
        <w:t xml:space="preserve"> op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de </w:t>
      </w:r>
      <w:proofErr w:type="spellStart"/>
      <w:r>
        <w:t>aanpassingen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doorgevoerd</w:t>
      </w:r>
      <w:proofErr w:type="spellEnd"/>
      <w:r>
        <w:t>.</w:t>
      </w:r>
    </w:p>
    <w:p w14:paraId="51B10C19" w14:textId="77777777" w:rsidR="00194149" w:rsidRDefault="00A63A78">
      <w:pPr>
        <w:spacing w:after="240"/>
        <w:rPr>
          <w:b/>
        </w:rPr>
      </w:pPr>
      <w:r>
        <w:rPr>
          <w:b/>
        </w:rPr>
        <w:t xml:space="preserve">1. Attest </w:t>
      </w:r>
      <w:proofErr w:type="spellStart"/>
      <w:r>
        <w:rPr>
          <w:b/>
        </w:rPr>
        <w:t>verhoogde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kinderbijslag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actualisering</w:t>
      </w:r>
      <w:proofErr w:type="spellEnd"/>
      <w:r>
        <w:rPr>
          <w:b/>
        </w:rPr>
        <w:t xml:space="preserve"> van de </w:t>
      </w:r>
      <w:proofErr w:type="spellStart"/>
      <w:r>
        <w:rPr>
          <w:b/>
        </w:rPr>
        <w:t>gebruikte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terminologie</w:t>
      </w:r>
      <w:proofErr w:type="spellEnd"/>
      <w:r>
        <w:rPr>
          <w:b/>
        </w:rPr>
        <w:t>/</w:t>
      </w:r>
      <w:proofErr w:type="spellStart"/>
      <w:r>
        <w:rPr>
          <w:b/>
        </w:rPr>
        <w:t>regelgeving</w:t>
      </w:r>
      <w:proofErr w:type="spellEnd"/>
    </w:p>
    <w:p w14:paraId="1029ED22" w14:textId="77777777" w:rsidR="00194149" w:rsidRDefault="00A63A78">
      <w:pPr>
        <w:spacing w:after="200"/>
      </w:pPr>
      <w:r>
        <w:t xml:space="preserve">Door de 6de </w:t>
      </w:r>
      <w:proofErr w:type="spellStart"/>
      <w:r>
        <w:t>staatshervorming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de </w:t>
      </w:r>
      <w:proofErr w:type="spellStart"/>
      <w:r>
        <w:t>bevoegdheid</w:t>
      </w:r>
      <w:proofErr w:type="spellEnd"/>
      <w:r>
        <w:t xml:space="preserve"> ov</w:t>
      </w:r>
      <w:r>
        <w:t>er ‘</w:t>
      </w:r>
      <w:proofErr w:type="spellStart"/>
      <w:r>
        <w:t>kinderbijslag</w:t>
      </w:r>
      <w:proofErr w:type="spellEnd"/>
      <w:r>
        <w:t xml:space="preserve">’ </w:t>
      </w:r>
      <w:proofErr w:type="spellStart"/>
      <w:r>
        <w:t>overgeheveld</w:t>
      </w:r>
      <w:proofErr w:type="spellEnd"/>
      <w:r>
        <w:t xml:space="preserve"> van de </w:t>
      </w:r>
      <w:proofErr w:type="spellStart"/>
      <w:r>
        <w:t>Federale</w:t>
      </w:r>
      <w:proofErr w:type="spellEnd"/>
      <w:r>
        <w:t xml:space="preserve"> </w:t>
      </w:r>
      <w:proofErr w:type="spellStart"/>
      <w:r>
        <w:t>overheid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overheid</w:t>
      </w:r>
      <w:proofErr w:type="spellEnd"/>
      <w:r>
        <w:t xml:space="preserve">. De </w:t>
      </w:r>
      <w:proofErr w:type="spellStart"/>
      <w:r>
        <w:t>regelgeving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bewoordingen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 xml:space="preserve">. </w:t>
      </w:r>
    </w:p>
    <w:p w14:paraId="337AE0DB" w14:textId="62ED9D7A" w:rsidR="00194149" w:rsidRDefault="00A63A78">
      <w:pPr>
        <w:spacing w:after="200"/>
      </w:pPr>
      <w:proofErr w:type="spellStart"/>
      <w:r>
        <w:lastRenderedPageBreak/>
        <w:t>Vanaf</w:t>
      </w:r>
      <w:proofErr w:type="spellEnd"/>
      <w:r>
        <w:t xml:space="preserve"> 1 </w:t>
      </w:r>
      <w:proofErr w:type="spellStart"/>
      <w:r>
        <w:t>januari</w:t>
      </w:r>
      <w:proofErr w:type="spellEnd"/>
      <w:r>
        <w:t xml:space="preserve"> 2019 </w:t>
      </w:r>
      <w:proofErr w:type="spellStart"/>
      <w:r>
        <w:t>krijgt</w:t>
      </w:r>
      <w:proofErr w:type="spellEnd"/>
      <w:r>
        <w:t xml:space="preserve"> elk kind in </w:t>
      </w:r>
      <w:proofErr w:type="spellStart"/>
      <w:r>
        <w:t>Vlaanderen</w:t>
      </w:r>
      <w:proofErr w:type="spellEnd"/>
      <w:r>
        <w:t xml:space="preserve"> </w:t>
      </w:r>
      <w:r>
        <w:t>‘</w:t>
      </w:r>
      <w:proofErr w:type="spellStart"/>
      <w:r>
        <w:t>een</w:t>
      </w:r>
      <w:proofErr w:type="spellEnd"/>
      <w:r>
        <w:t xml:space="preserve"> eigen </w:t>
      </w:r>
      <w:proofErr w:type="spellStart"/>
      <w:r>
        <w:t>Groeipakket</w:t>
      </w:r>
      <w:proofErr w:type="spellEnd"/>
      <w:r>
        <w:t xml:space="preserve">’ </w:t>
      </w:r>
      <w:proofErr w:type="spellStart"/>
      <w:r>
        <w:t>m.n.</w:t>
      </w:r>
      <w:proofErr w:type="spellEnd"/>
      <w:r>
        <w:t xml:space="preserve"> 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tegemoetkoming</w:t>
      </w:r>
      <w:proofErr w:type="spellEnd"/>
      <w:r>
        <w:t xml:space="preserve"> die de </w:t>
      </w:r>
      <w:proofErr w:type="spellStart"/>
      <w:r>
        <w:t>Vlaa</w:t>
      </w:r>
      <w:r>
        <w:t>mse</w:t>
      </w:r>
      <w:proofErr w:type="spellEnd"/>
      <w:r>
        <w:t xml:space="preserve"> </w:t>
      </w:r>
      <w:proofErr w:type="spellStart"/>
      <w:r>
        <w:t>Overheid</w:t>
      </w:r>
      <w:proofErr w:type="spellEnd"/>
      <w:r>
        <w:t xml:space="preserve"> </w:t>
      </w:r>
      <w:proofErr w:type="spellStart"/>
      <w:r>
        <w:t>voorziet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opvoeding</w:t>
      </w:r>
      <w:proofErr w:type="spellEnd"/>
      <w:r>
        <w:t xml:space="preserve"> van </w:t>
      </w:r>
      <w:proofErr w:type="spellStart"/>
      <w:r>
        <w:t>kinderen</w:t>
      </w:r>
      <w:proofErr w:type="spellEnd"/>
      <w:r>
        <w:t xml:space="preserve">.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is er nu </w:t>
      </w:r>
      <w:proofErr w:type="spellStart"/>
      <w:r>
        <w:t>sprake</w:t>
      </w:r>
      <w:proofErr w:type="spellEnd"/>
      <w:r>
        <w:t xml:space="preserve"> van ‘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groeipakket</w:t>
      </w:r>
      <w:proofErr w:type="spellEnd"/>
      <w:r>
        <w:t xml:space="preserve"> met </w:t>
      </w:r>
      <w:proofErr w:type="spellStart"/>
      <w:r>
        <w:t>zorgtoeslag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ondersteuningsbehoefte</w:t>
      </w:r>
      <w:proofErr w:type="spellEnd"/>
      <w:r>
        <w:t xml:space="preserve">’. Het </w:t>
      </w:r>
      <w:proofErr w:type="spellStart"/>
      <w:r>
        <w:t>groeipakket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beheerd</w:t>
      </w:r>
      <w:proofErr w:type="spellEnd"/>
      <w:r>
        <w:t xml:space="preserve"> door het </w:t>
      </w:r>
      <w:proofErr w:type="spellStart"/>
      <w:r>
        <w:t>Agentschap</w:t>
      </w:r>
      <w:proofErr w:type="spellEnd"/>
      <w:r>
        <w:t xml:space="preserve"> </w:t>
      </w:r>
      <w:proofErr w:type="spellStart"/>
      <w:r>
        <w:t>Opgroeien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Agen</w:t>
      </w:r>
      <w:r>
        <w:t>tschap</w:t>
      </w:r>
      <w:proofErr w:type="spellEnd"/>
      <w:r>
        <w:t xml:space="preserve"> </w:t>
      </w:r>
      <w:proofErr w:type="spellStart"/>
      <w:r>
        <w:t>Uitbetaling</w:t>
      </w:r>
      <w:proofErr w:type="spellEnd"/>
      <w:r>
        <w:t xml:space="preserve"> </w:t>
      </w:r>
      <w:proofErr w:type="spellStart"/>
      <w:r>
        <w:t>Groeipakket</w:t>
      </w:r>
      <w:proofErr w:type="spellEnd"/>
      <w:r>
        <w:t xml:space="preserve"> (VUTG). </w:t>
      </w:r>
      <w:proofErr w:type="spellStart"/>
      <w:r>
        <w:t>Verhoogde</w:t>
      </w:r>
      <w:proofErr w:type="spellEnd"/>
      <w:r>
        <w:t xml:space="preserve"> </w:t>
      </w:r>
      <w:proofErr w:type="spellStart"/>
      <w:r>
        <w:t>kinderbijslag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vervangen</w:t>
      </w:r>
      <w:proofErr w:type="spellEnd"/>
      <w:r>
        <w:t xml:space="preserve"> door het </w:t>
      </w:r>
      <w:proofErr w:type="spellStart"/>
      <w:r>
        <w:t>Groeipakket</w:t>
      </w:r>
      <w:proofErr w:type="spellEnd"/>
      <w:r>
        <w:t>.</w:t>
      </w:r>
    </w:p>
    <w:p w14:paraId="0C11118C" w14:textId="77777777" w:rsidR="00194149" w:rsidRDefault="00A63A78">
      <w:pPr>
        <w:spacing w:after="200"/>
      </w:pPr>
      <w:proofErr w:type="spellStart"/>
      <w:r>
        <w:t>Daarom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>:</w:t>
      </w:r>
    </w:p>
    <w:p w14:paraId="05DACF20" w14:textId="77777777" w:rsidR="00194149" w:rsidRDefault="00A63A78">
      <w:pPr>
        <w:numPr>
          <w:ilvl w:val="0"/>
          <w:numId w:val="1"/>
        </w:numPr>
      </w:pPr>
      <w:r>
        <w:t xml:space="preserve">Er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vermelding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van het attest </w:t>
      </w:r>
      <w:proofErr w:type="spellStart"/>
      <w:r>
        <w:t>verhoogde</w:t>
      </w:r>
      <w:proofErr w:type="spellEnd"/>
      <w:r>
        <w:t xml:space="preserve"> </w:t>
      </w:r>
      <w:proofErr w:type="spellStart"/>
      <w:r>
        <w:t>kinderbijslag</w:t>
      </w:r>
      <w:proofErr w:type="spellEnd"/>
      <w:r>
        <w:t xml:space="preserve"> </w:t>
      </w:r>
      <w:proofErr w:type="spellStart"/>
      <w:r>
        <w:t>minstens</w:t>
      </w:r>
      <w:proofErr w:type="spellEnd"/>
      <w:r>
        <w:t xml:space="preserve"> 4 </w:t>
      </w:r>
      <w:proofErr w:type="spellStart"/>
      <w:r>
        <w:t>punten</w:t>
      </w:r>
      <w:proofErr w:type="spellEnd"/>
      <w:r>
        <w:t xml:space="preserve"> </w:t>
      </w:r>
      <w:proofErr w:type="spellStart"/>
      <w:r>
        <w:t>zelfredzaamheid</w:t>
      </w:r>
      <w:proofErr w:type="spellEnd"/>
      <w:r>
        <w:t xml:space="preserve"> (KB 3/5/</w:t>
      </w:r>
      <w:r>
        <w:t xml:space="preserve">1991). Die </w:t>
      </w:r>
      <w:proofErr w:type="spellStart"/>
      <w:r>
        <w:t>regeling</w:t>
      </w:r>
      <w:proofErr w:type="spellEnd"/>
      <w:r>
        <w:t xml:space="preserve"> is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>.</w:t>
      </w:r>
    </w:p>
    <w:p w14:paraId="3648B8FF" w14:textId="50BF466F" w:rsidR="00194149" w:rsidRDefault="00A63A78">
      <w:pPr>
        <w:numPr>
          <w:ilvl w:val="0"/>
          <w:numId w:val="1"/>
        </w:numPr>
        <w:spacing w:after="200"/>
      </w:pPr>
      <w:r>
        <w:t xml:space="preserve">De </w:t>
      </w:r>
      <w:proofErr w:type="spellStart"/>
      <w:r>
        <w:t>terminologie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‘attest </w:t>
      </w:r>
      <w:proofErr w:type="spellStart"/>
      <w:r>
        <w:t>recht</w:t>
      </w:r>
      <w:proofErr w:type="spellEnd"/>
      <w:r>
        <w:t xml:space="preserve"> op </w:t>
      </w:r>
      <w:proofErr w:type="spellStart"/>
      <w:r>
        <w:t>verhoogde</w:t>
      </w:r>
      <w:proofErr w:type="spellEnd"/>
      <w:r>
        <w:t xml:space="preserve"> </w:t>
      </w:r>
      <w:proofErr w:type="spellStart"/>
      <w:r>
        <w:t>kinderbijslag</w:t>
      </w:r>
      <w:proofErr w:type="spellEnd"/>
      <w:r>
        <w:t xml:space="preserve"> </w:t>
      </w:r>
      <w:proofErr w:type="spellStart"/>
      <w:r>
        <w:t>minstens</w:t>
      </w:r>
      <w:proofErr w:type="spellEnd"/>
      <w:r>
        <w:t xml:space="preserve"> 18 </w:t>
      </w:r>
      <w:proofErr w:type="spellStart"/>
      <w:r>
        <w:t>punten</w:t>
      </w:r>
      <w:proofErr w:type="spellEnd"/>
      <w:r>
        <w:t xml:space="preserve"> op </w:t>
      </w:r>
      <w:proofErr w:type="spellStart"/>
      <w:r>
        <w:t>medisch-sociale</w:t>
      </w:r>
      <w:proofErr w:type="spellEnd"/>
      <w:r>
        <w:t xml:space="preserve"> </w:t>
      </w:r>
      <w:proofErr w:type="spellStart"/>
      <w:r>
        <w:t>schaal</w:t>
      </w:r>
      <w:proofErr w:type="spellEnd"/>
      <w:r>
        <w:t xml:space="preserve"> (KB 28/3/2003)</w:t>
      </w:r>
      <w:r w:rsidR="00DC32E0"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‘attest </w:t>
      </w:r>
      <w:proofErr w:type="spellStart"/>
      <w:r>
        <w:t>uitbetaler</w:t>
      </w:r>
      <w:proofErr w:type="spellEnd"/>
      <w:r>
        <w:t xml:space="preserve"> </w:t>
      </w:r>
      <w:proofErr w:type="spellStart"/>
      <w:r>
        <w:t>groeipakket</w:t>
      </w:r>
      <w:proofErr w:type="spellEnd"/>
      <w:r>
        <w:t xml:space="preserve"> met </w:t>
      </w:r>
      <w:proofErr w:type="spellStart"/>
      <w:r>
        <w:t>mins</w:t>
      </w:r>
      <w:r>
        <w:t>tens</w:t>
      </w:r>
      <w:proofErr w:type="spellEnd"/>
      <w:r>
        <w:t xml:space="preserve"> 18 </w:t>
      </w:r>
      <w:proofErr w:type="spellStart"/>
      <w:r>
        <w:t>punten</w:t>
      </w:r>
      <w:proofErr w:type="spellEnd"/>
      <w:r>
        <w:t xml:space="preserve"> op de </w:t>
      </w:r>
      <w:proofErr w:type="spellStart"/>
      <w:r>
        <w:t>medisch-sociale</w:t>
      </w:r>
      <w:proofErr w:type="spellEnd"/>
      <w:r>
        <w:t xml:space="preserve"> </w:t>
      </w:r>
      <w:proofErr w:type="spellStart"/>
      <w:r>
        <w:t>schaal</w:t>
      </w:r>
      <w:proofErr w:type="spellEnd"/>
      <w:r>
        <w:t xml:space="preserve"> (KB 28/3/2003)’.</w:t>
      </w:r>
    </w:p>
    <w:p w14:paraId="1EEDD539" w14:textId="77777777" w:rsidR="00194149" w:rsidRDefault="00A63A78">
      <w:pPr>
        <w:spacing w:after="240"/>
        <w:rPr>
          <w:b/>
        </w:rPr>
      </w:pPr>
      <w:r>
        <w:rPr>
          <w:b/>
        </w:rPr>
        <w:t xml:space="preserve">2. Attest </w:t>
      </w:r>
      <w:proofErr w:type="spellStart"/>
      <w:r>
        <w:rPr>
          <w:b/>
        </w:rPr>
        <w:t>integratietegemoetkoming</w:t>
      </w:r>
      <w:proofErr w:type="spellEnd"/>
      <w:r>
        <w:rPr>
          <w:b/>
        </w:rPr>
        <w:t xml:space="preserve">: </w:t>
      </w:r>
      <w:proofErr w:type="spellStart"/>
      <w:r>
        <w:rPr>
          <w:b/>
          <w:highlight w:val="white"/>
        </w:rPr>
        <w:t>verduidelijking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dat</w:t>
      </w:r>
      <w:proofErr w:type="spellEnd"/>
      <w:r>
        <w:rPr>
          <w:b/>
          <w:highlight w:val="white"/>
        </w:rPr>
        <w:t xml:space="preserve"> het over </w:t>
      </w:r>
      <w:proofErr w:type="spellStart"/>
      <w:r>
        <w:rPr>
          <w:b/>
          <w:highlight w:val="white"/>
        </w:rPr>
        <w:t>een</w:t>
      </w:r>
      <w:proofErr w:type="spellEnd"/>
      <w:r>
        <w:rPr>
          <w:b/>
          <w:highlight w:val="white"/>
        </w:rPr>
        <w:t xml:space="preserve"> attest van </w:t>
      </w:r>
      <w:proofErr w:type="spellStart"/>
      <w:r>
        <w:rPr>
          <w:b/>
          <w:highlight w:val="white"/>
        </w:rPr>
        <w:t>onbepaalde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duur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moet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gaan</w:t>
      </w:r>
      <w:proofErr w:type="spellEnd"/>
    </w:p>
    <w:p w14:paraId="2519A33B" w14:textId="77777777" w:rsidR="00194149" w:rsidRDefault="00A63A78">
      <w:pPr>
        <w:spacing w:after="200"/>
      </w:pPr>
      <w:proofErr w:type="spellStart"/>
      <w:r>
        <w:t>Personen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graad</w:t>
      </w:r>
      <w:proofErr w:type="spellEnd"/>
      <w:r>
        <w:t xml:space="preserve"> van </w:t>
      </w:r>
      <w:proofErr w:type="spellStart"/>
      <w:r>
        <w:t>zelfredzaamheid</w:t>
      </w:r>
      <w:proofErr w:type="spellEnd"/>
      <w:r>
        <w:t xml:space="preserve"> van </w:t>
      </w:r>
      <w:proofErr w:type="spellStart"/>
      <w:r>
        <w:t>tenminste</w:t>
      </w:r>
      <w:proofErr w:type="spellEnd"/>
      <w:r>
        <w:t xml:space="preserve"> 12 </w:t>
      </w:r>
      <w:proofErr w:type="spellStart"/>
      <w:r>
        <w:t>punten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vastgesteld</w:t>
      </w:r>
      <w:proofErr w:type="spellEnd"/>
      <w:r>
        <w:t xml:space="preserve"> </w:t>
      </w:r>
      <w:proofErr w:type="spellStart"/>
      <w:r>
        <w:t>e</w:t>
      </w:r>
      <w:r>
        <w:t>n</w:t>
      </w:r>
      <w:proofErr w:type="spellEnd"/>
      <w:r>
        <w:t xml:space="preserve"> die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integratietegemoetkoming</w:t>
      </w:r>
      <w:proofErr w:type="spellEnd"/>
      <w:r>
        <w:t xml:space="preserve">, </w:t>
      </w:r>
      <w:proofErr w:type="spellStart"/>
      <w:r>
        <w:t>kunnen</w:t>
      </w:r>
      <w:proofErr w:type="spellEnd"/>
      <w:r>
        <w:t xml:space="preserve"> in </w:t>
      </w:r>
      <w:proofErr w:type="spellStart"/>
      <w:r>
        <w:t>aanmerking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afwijkende</w:t>
      </w:r>
      <w:proofErr w:type="spellEnd"/>
      <w:r>
        <w:t xml:space="preserve"> procedure. </w:t>
      </w:r>
      <w:proofErr w:type="spellStart"/>
      <w:r>
        <w:t>Daarbij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het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over </w:t>
      </w:r>
      <w:proofErr w:type="spellStart"/>
      <w:r>
        <w:t>attesten</w:t>
      </w:r>
      <w:proofErr w:type="spellEnd"/>
      <w:r>
        <w:t xml:space="preserve"> van </w:t>
      </w:r>
      <w:proofErr w:type="spellStart"/>
      <w:r>
        <w:t>onbepaalde</w:t>
      </w:r>
      <w:proofErr w:type="spellEnd"/>
      <w:r>
        <w:t xml:space="preserve"> </w:t>
      </w:r>
      <w:proofErr w:type="spellStart"/>
      <w:r>
        <w:t>duur</w:t>
      </w:r>
      <w:proofErr w:type="spellEnd"/>
      <w:r>
        <w:t xml:space="preserve">. Op die </w:t>
      </w:r>
      <w:proofErr w:type="spellStart"/>
      <w:r>
        <w:t>manier</w:t>
      </w:r>
      <w:proofErr w:type="spellEnd"/>
      <w:r>
        <w:t xml:space="preserve"> is er </w:t>
      </w:r>
      <w:proofErr w:type="spellStart"/>
      <w:r>
        <w:t>zekerheid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proofErr w:type="gramStart"/>
      <w:r>
        <w:t>beantwoordt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al de </w:t>
      </w:r>
      <w:proofErr w:type="spellStart"/>
      <w:r>
        <w:t>essentiële</w:t>
      </w:r>
      <w:proofErr w:type="spellEnd"/>
      <w:r>
        <w:t xml:space="preserve"> </w:t>
      </w:r>
      <w:proofErr w:type="spellStart"/>
      <w:r>
        <w:t>bestanddelen</w:t>
      </w:r>
      <w:proofErr w:type="spellEnd"/>
      <w:r>
        <w:t xml:space="preserve"> van de </w:t>
      </w:r>
      <w:proofErr w:type="spellStart"/>
      <w:r>
        <w:t>definitie</w:t>
      </w:r>
      <w:proofErr w:type="spellEnd"/>
      <w:r>
        <w:t xml:space="preserve"> handicap die het VAPH </w:t>
      </w:r>
      <w:proofErr w:type="spellStart"/>
      <w:r>
        <w:t>hanteert</w:t>
      </w:r>
      <w:proofErr w:type="spellEnd"/>
      <w:r>
        <w:t xml:space="preserve">.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verdwijnt</w:t>
      </w:r>
      <w:proofErr w:type="spellEnd"/>
      <w:r>
        <w:t xml:space="preserve"> door het </w:t>
      </w:r>
      <w:proofErr w:type="spellStart"/>
      <w:r>
        <w:t>uitdrukkelijk</w:t>
      </w:r>
      <w:proofErr w:type="spellEnd"/>
      <w:r>
        <w:t xml:space="preserve"> </w:t>
      </w:r>
      <w:proofErr w:type="spellStart"/>
      <w:r>
        <w:t>toevoegen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duurtijd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alle </w:t>
      </w:r>
      <w:proofErr w:type="spellStart"/>
      <w:r>
        <w:t>actoren</w:t>
      </w:r>
      <w:proofErr w:type="spellEnd"/>
      <w:r>
        <w:t xml:space="preserve"> de </w:t>
      </w:r>
      <w:proofErr w:type="spellStart"/>
      <w:r>
        <w:t>onduidelijkheid</w:t>
      </w:r>
      <w:proofErr w:type="spellEnd"/>
      <w:r>
        <w:t xml:space="preserve"> over het al dan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toelaten</w:t>
      </w:r>
      <w:proofErr w:type="spellEnd"/>
      <w:r>
        <w:t xml:space="preserve"> van de </w:t>
      </w:r>
      <w:proofErr w:type="spellStart"/>
      <w:r>
        <w:t>tijdelijke</w:t>
      </w:r>
      <w:proofErr w:type="spellEnd"/>
      <w:r>
        <w:t xml:space="preserve"> FOD-</w:t>
      </w:r>
      <w:proofErr w:type="spellStart"/>
      <w:r>
        <w:t>attesten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verduidelijkt</w:t>
      </w:r>
      <w:proofErr w:type="spellEnd"/>
      <w:r>
        <w:t xml:space="preserve"> i</w:t>
      </w:r>
      <w:r>
        <w:t xml:space="preserve">n de </w:t>
      </w:r>
      <w:proofErr w:type="spellStart"/>
      <w:r>
        <w:t>regelgeving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de </w:t>
      </w:r>
      <w:proofErr w:type="spellStart"/>
      <w:r>
        <w:t>applicatie</w:t>
      </w:r>
      <w:proofErr w:type="spellEnd"/>
      <w:r>
        <w:t>.</w:t>
      </w:r>
    </w:p>
    <w:p w14:paraId="6397D8C3" w14:textId="77777777" w:rsidR="00194149" w:rsidRDefault="00A63A78">
      <w:pPr>
        <w:spacing w:after="200"/>
        <w:rPr>
          <w:b/>
        </w:rPr>
      </w:pPr>
      <w:proofErr w:type="spellStart"/>
      <w:r>
        <w:t>Personen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tijdelijk</w:t>
      </w:r>
      <w:proofErr w:type="spellEnd"/>
      <w:r>
        <w:t xml:space="preserve"> attest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uiteraard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steeds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aanvraag</w:t>
      </w:r>
      <w:proofErr w:type="spellEnd"/>
      <w:r>
        <w:t xml:space="preserve"> tot 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indienen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VAPH. De handicap </w:t>
      </w:r>
      <w:proofErr w:type="spellStart"/>
      <w:r>
        <w:t>zal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hen </w:t>
      </w:r>
      <w:proofErr w:type="spellStart"/>
      <w:r>
        <w:t>telkens</w:t>
      </w:r>
      <w:proofErr w:type="spellEnd"/>
      <w:r>
        <w:t xml:space="preserve"> </w:t>
      </w:r>
      <w:proofErr w:type="spellStart"/>
      <w:r>
        <w:t>beoordeeld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door het VAPH </w:t>
      </w:r>
      <w:proofErr w:type="spellStart"/>
      <w:r>
        <w:t>en</w:t>
      </w:r>
      <w:proofErr w:type="spellEnd"/>
      <w:r>
        <w:t xml:space="preserve">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Toeleidingscommissie</w:t>
      </w:r>
      <w:proofErr w:type="spellEnd"/>
      <w:r>
        <w:t xml:space="preserve"> (VTC).</w:t>
      </w:r>
    </w:p>
    <w:p w14:paraId="536391DF" w14:textId="77777777" w:rsidR="00194149" w:rsidRDefault="00A63A78">
      <w:pPr>
        <w:spacing w:after="240"/>
        <w:rPr>
          <w:b/>
        </w:rPr>
      </w:pPr>
      <w:r>
        <w:rPr>
          <w:b/>
        </w:rPr>
        <w:t xml:space="preserve">3. Attest </w:t>
      </w:r>
      <w:proofErr w:type="spellStart"/>
      <w:r>
        <w:rPr>
          <w:b/>
        </w:rPr>
        <w:t>buitengewoon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onderwijs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actualisering</w:t>
      </w:r>
      <w:proofErr w:type="spellEnd"/>
      <w:r>
        <w:rPr>
          <w:b/>
        </w:rPr>
        <w:t xml:space="preserve"> van de </w:t>
      </w:r>
      <w:proofErr w:type="spellStart"/>
      <w:r>
        <w:rPr>
          <w:b/>
        </w:rPr>
        <w:t>gebruikte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terminologie</w:t>
      </w:r>
      <w:proofErr w:type="spellEnd"/>
      <w:r>
        <w:rPr>
          <w:b/>
        </w:rPr>
        <w:t>/</w:t>
      </w:r>
      <w:proofErr w:type="spellStart"/>
      <w:r>
        <w:rPr>
          <w:b/>
        </w:rPr>
        <w:t>regelgeving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vereenvoudiging</w:t>
      </w:r>
      <w:proofErr w:type="spellEnd"/>
    </w:p>
    <w:p w14:paraId="2DDFFA78" w14:textId="77777777" w:rsidR="00194149" w:rsidRDefault="00A63A78">
      <w:pPr>
        <w:spacing w:after="200"/>
      </w:pPr>
      <w:r>
        <w:t xml:space="preserve">In 2014 </w:t>
      </w:r>
      <w:proofErr w:type="spellStart"/>
      <w:r>
        <w:t>werd</w:t>
      </w:r>
      <w:proofErr w:type="spellEnd"/>
      <w:r>
        <w:t xml:space="preserve"> de </w:t>
      </w:r>
      <w:proofErr w:type="spellStart"/>
      <w:r>
        <w:t>bevoegdheid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behandelen</w:t>
      </w:r>
      <w:proofErr w:type="spellEnd"/>
      <w:r>
        <w:t xml:space="preserve"> van </w:t>
      </w:r>
      <w:proofErr w:type="spellStart"/>
      <w:r>
        <w:t>aanvragen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niet-rechtstreeks</w:t>
      </w:r>
      <w:proofErr w:type="spellEnd"/>
      <w:r>
        <w:t xml:space="preserve"> </w:t>
      </w:r>
      <w:proofErr w:type="spellStart"/>
      <w:r>
        <w:t>toegankelijke</w:t>
      </w:r>
      <w:proofErr w:type="spellEnd"/>
      <w:r>
        <w:t xml:space="preserve"> VAPH-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overgeheveld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Agents</w:t>
      </w:r>
      <w:r>
        <w:t>chap</w:t>
      </w:r>
      <w:proofErr w:type="spellEnd"/>
      <w:r>
        <w:t xml:space="preserve"> </w:t>
      </w:r>
      <w:proofErr w:type="spellStart"/>
      <w:r>
        <w:t>Opgroeien</w:t>
      </w:r>
      <w:proofErr w:type="spellEnd"/>
      <w:r>
        <w:t xml:space="preserve"> (</w:t>
      </w:r>
      <w:proofErr w:type="spellStart"/>
      <w:r>
        <w:t>meer</w:t>
      </w:r>
      <w:proofErr w:type="spellEnd"/>
      <w:r>
        <w:t xml:space="preserve"> </w:t>
      </w:r>
      <w:proofErr w:type="spellStart"/>
      <w:r>
        <w:t>bepaald</w:t>
      </w:r>
      <w:proofErr w:type="spellEnd"/>
      <w:r>
        <w:t xml:space="preserve"> de </w:t>
      </w:r>
      <w:proofErr w:type="spellStart"/>
      <w:r>
        <w:t>intersectorale</w:t>
      </w:r>
      <w:proofErr w:type="spellEnd"/>
      <w:r>
        <w:t xml:space="preserve"> </w:t>
      </w:r>
      <w:proofErr w:type="spellStart"/>
      <w:r>
        <w:t>toegangspoort</w:t>
      </w:r>
      <w:proofErr w:type="spellEnd"/>
      <w:r>
        <w:t xml:space="preserve"> of ITP).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tot het VAPH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handicapspecifieke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aanvragen</w:t>
      </w:r>
      <w:proofErr w:type="spellEnd"/>
      <w:r>
        <w:t>.</w:t>
      </w:r>
    </w:p>
    <w:p w14:paraId="04989B00" w14:textId="77777777" w:rsidR="00194149" w:rsidRDefault="00A63A78">
      <w:pPr>
        <w:spacing w:after="200"/>
      </w:pPr>
      <w:proofErr w:type="spellStart"/>
      <w:r>
        <w:t>Daardoor</w:t>
      </w:r>
      <w:proofErr w:type="spellEnd"/>
      <w:r>
        <w:t xml:space="preserve"> is de </w:t>
      </w:r>
      <w:proofErr w:type="spellStart"/>
      <w:r>
        <w:t>afwijkende</w:t>
      </w:r>
      <w:proofErr w:type="spellEnd"/>
      <w:r>
        <w:t xml:space="preserve"> of </w:t>
      </w:r>
      <w:proofErr w:type="spellStart"/>
      <w:r>
        <w:t>versnelde</w:t>
      </w:r>
      <w:proofErr w:type="spellEnd"/>
      <w:r>
        <w:t xml:space="preserve"> procedure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erkenning</w:t>
      </w:r>
      <w:proofErr w:type="spellEnd"/>
      <w:r>
        <w:t xml:space="preserve"> van de handicap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.  Het VAPH </w:t>
      </w:r>
      <w:proofErr w:type="spellStart"/>
      <w:r>
        <w:t>oordeelt</w:t>
      </w:r>
      <w:proofErr w:type="spellEnd"/>
      <w:r>
        <w:t xml:space="preserve">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over de </w:t>
      </w:r>
      <w:proofErr w:type="spellStart"/>
      <w:r>
        <w:t>erkenning</w:t>
      </w:r>
      <w:proofErr w:type="spellEnd"/>
      <w:r>
        <w:t xml:space="preserve"> van de handicap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. Het VAPH </w:t>
      </w:r>
      <w:proofErr w:type="spellStart"/>
      <w:r>
        <w:t>oordeelt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over de </w:t>
      </w:r>
      <w:proofErr w:type="spellStart"/>
      <w:r>
        <w:t>toekenning</w:t>
      </w:r>
      <w:proofErr w:type="spellEnd"/>
      <w:r>
        <w:t xml:space="preserve"> van </w:t>
      </w:r>
      <w:proofErr w:type="spellStart"/>
      <w:r>
        <w:t>specifieke</w:t>
      </w:r>
      <w:proofErr w:type="spellEnd"/>
      <w:r>
        <w:t xml:space="preserve"> </w:t>
      </w:r>
      <w:proofErr w:type="spellStart"/>
      <w:r>
        <w:t>hulpmiddelen</w:t>
      </w:r>
      <w:proofErr w:type="spellEnd"/>
      <w:r>
        <w:t xml:space="preserve">. Pas </w:t>
      </w:r>
      <w:proofErr w:type="spellStart"/>
      <w:r>
        <w:t>van</w:t>
      </w:r>
      <w:r>
        <w:t>af</w:t>
      </w:r>
      <w:proofErr w:type="spellEnd"/>
      <w:r>
        <w:t xml:space="preserve"> </w:t>
      </w:r>
      <w:proofErr w:type="spellStart"/>
      <w:r>
        <w:t>meerderjarigheid</w:t>
      </w:r>
      <w:proofErr w:type="spellEnd"/>
      <w:r>
        <w:t xml:space="preserve"> </w:t>
      </w:r>
      <w:proofErr w:type="spellStart"/>
      <w:r>
        <w:t>oordeelt</w:t>
      </w:r>
      <w:proofErr w:type="spellEnd"/>
      <w:r>
        <w:t xml:space="preserve"> het VAPH over de </w:t>
      </w:r>
      <w:proofErr w:type="spellStart"/>
      <w:r>
        <w:t>handicaperkenning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versnelde</w:t>
      </w:r>
      <w:proofErr w:type="spellEnd"/>
      <w:r>
        <w:t xml:space="preserve"> procedure van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zijn</w:t>
      </w:r>
      <w:proofErr w:type="spellEnd"/>
      <w:r>
        <w:t>.</w:t>
      </w:r>
    </w:p>
    <w:p w14:paraId="6D7EF476" w14:textId="77777777" w:rsidR="00194149" w:rsidRDefault="00A63A78">
      <w:pPr>
        <w:spacing w:after="200"/>
      </w:pPr>
      <w:proofErr w:type="spellStart"/>
      <w:r>
        <w:t>Dat</w:t>
      </w:r>
      <w:proofErr w:type="spellEnd"/>
      <w: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attesten</w:t>
      </w:r>
      <w:proofErr w:type="spellEnd"/>
      <w:r>
        <w:t xml:space="preserve"> die </w:t>
      </w:r>
      <w:proofErr w:type="spellStart"/>
      <w:r>
        <w:t>uitgereikt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(</w:t>
      </w:r>
      <w:proofErr w:type="spellStart"/>
      <w:r>
        <w:t>bv</w:t>
      </w:r>
      <w:proofErr w:type="spellEnd"/>
      <w:r>
        <w:t xml:space="preserve">. Attest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kleuter</w:t>
      </w:r>
      <w:proofErr w:type="spellEnd"/>
      <w:r>
        <w:t xml:space="preserve">- of lager </w:t>
      </w:r>
      <w:proofErr w:type="spellStart"/>
      <w:r>
        <w:t>onderwijs</w:t>
      </w:r>
      <w:proofErr w:type="spellEnd"/>
      <w:r>
        <w:t xml:space="preserve">)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actueel</w:t>
      </w:r>
      <w:proofErr w:type="spellEnd"/>
      <w:r>
        <w:t xml:space="preserve"> of </w:t>
      </w:r>
      <w:r>
        <w:t xml:space="preserve">relevant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het VAPH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oordelen</w:t>
      </w:r>
      <w:proofErr w:type="spellEnd"/>
      <w:r>
        <w:t xml:space="preserve"> over de handicap.</w:t>
      </w:r>
    </w:p>
    <w:p w14:paraId="3A754C2D" w14:textId="77777777" w:rsidR="00194149" w:rsidRDefault="00A63A78">
      <w:pPr>
        <w:spacing w:after="200"/>
      </w:pPr>
      <w:r>
        <w:lastRenderedPageBreak/>
        <w:t xml:space="preserve">In de </w:t>
      </w:r>
      <w:proofErr w:type="spellStart"/>
      <w:r>
        <w:t>vorige</w:t>
      </w:r>
      <w:proofErr w:type="spellEnd"/>
      <w:r>
        <w:t xml:space="preserve"> </w:t>
      </w:r>
      <w:proofErr w:type="spellStart"/>
      <w:r>
        <w:t>regelgeving</w:t>
      </w:r>
      <w:proofErr w:type="spellEnd"/>
      <w:r>
        <w:t xml:space="preserve"> was het </w:t>
      </w:r>
      <w:proofErr w:type="spellStart"/>
      <w:r>
        <w:t>onduidelijk</w:t>
      </w:r>
      <w:proofErr w:type="spellEnd"/>
      <w:r>
        <w:t xml:space="preserve"> hoe lang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bepaald</w:t>
      </w:r>
      <w:proofErr w:type="spellEnd"/>
      <w:r>
        <w:t xml:space="preserve"> attest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Er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gesproken</w:t>
      </w:r>
      <w:proofErr w:type="spellEnd"/>
      <w:r>
        <w:t xml:space="preserve"> over “</w:t>
      </w:r>
      <w:proofErr w:type="spellStart"/>
      <w:r>
        <w:t>volgen</w:t>
      </w:r>
      <w:proofErr w:type="spellEnd"/>
      <w:r>
        <w:t xml:space="preserve"> of in de </w:t>
      </w:r>
      <w:proofErr w:type="spellStart"/>
      <w:r>
        <w:t>periode</w:t>
      </w:r>
      <w:proofErr w:type="spellEnd"/>
      <w:r>
        <w:t xml:space="preserve"> van 3 </w:t>
      </w:r>
      <w:proofErr w:type="spellStart"/>
      <w:r>
        <w:t>jaar</w:t>
      </w:r>
      <w:proofErr w:type="spellEnd"/>
      <w:r>
        <w:t xml:space="preserve">,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aanvraag</w:t>
      </w:r>
      <w:proofErr w:type="spellEnd"/>
      <w:r>
        <w:t xml:space="preserve">, </w:t>
      </w:r>
      <w:proofErr w:type="spellStart"/>
      <w:r>
        <w:t>gevolgd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”. </w:t>
      </w:r>
      <w:proofErr w:type="spellStart"/>
      <w:r>
        <w:t>Aangezien</w:t>
      </w:r>
      <w:proofErr w:type="spellEnd"/>
      <w:r>
        <w:t xml:space="preserve"> het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over </w:t>
      </w:r>
      <w:proofErr w:type="spellStart"/>
      <w:r>
        <w:t>attesten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secundair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nu </w:t>
      </w:r>
      <w:proofErr w:type="spellStart"/>
      <w:r>
        <w:t>gesproken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termijn</w:t>
      </w:r>
      <w:proofErr w:type="spellEnd"/>
      <w:r>
        <w:t xml:space="preserve"> tot </w:t>
      </w:r>
      <w:proofErr w:type="spellStart"/>
      <w:r>
        <w:t>en</w:t>
      </w:r>
      <w:proofErr w:type="spellEnd"/>
      <w:r>
        <w:t xml:space="preserve"> met de </w:t>
      </w:r>
      <w:proofErr w:type="spellStart"/>
      <w:r>
        <w:t>leeftijd</w:t>
      </w:r>
      <w:proofErr w:type="spellEnd"/>
      <w:r>
        <w:t xml:space="preserve"> van 25 </w:t>
      </w:r>
      <w:proofErr w:type="spellStart"/>
      <w:r>
        <w:t>jaar</w:t>
      </w:r>
      <w:proofErr w:type="spellEnd"/>
      <w:r>
        <w:t>.</w:t>
      </w:r>
    </w:p>
    <w:p w14:paraId="40F8372F" w14:textId="77777777" w:rsidR="00194149" w:rsidRDefault="00A63A78">
      <w:pPr>
        <w:spacing w:after="200"/>
      </w:pPr>
      <w:proofErr w:type="spellStart"/>
      <w:r>
        <w:t>Daarom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>:</w:t>
      </w:r>
    </w:p>
    <w:p w14:paraId="0D69E1F1" w14:textId="77777777" w:rsidR="00194149" w:rsidRDefault="00A63A78">
      <w:pPr>
        <w:numPr>
          <w:ilvl w:val="0"/>
          <w:numId w:val="3"/>
        </w:numPr>
      </w:pPr>
      <w:r>
        <w:t xml:space="preserve">De </w:t>
      </w:r>
      <w:proofErr w:type="spellStart"/>
      <w:r>
        <w:t>attesten</w:t>
      </w:r>
      <w:proofErr w:type="spellEnd"/>
      <w:r>
        <w:t xml:space="preserve">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kleuteronderwijs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buitengewoon</w:t>
      </w:r>
      <w:proofErr w:type="spellEnd"/>
      <w:r>
        <w:t xml:space="preserve"> lager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geschrapt</w:t>
      </w:r>
      <w:proofErr w:type="spellEnd"/>
      <w:r>
        <w:t xml:space="preserve">. Er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verwezen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actuele</w:t>
      </w:r>
      <w:proofErr w:type="spellEnd"/>
      <w:r>
        <w:t xml:space="preserve"> </w:t>
      </w:r>
      <w:proofErr w:type="spellStart"/>
      <w:r>
        <w:t>attesten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aanvraag</w:t>
      </w:r>
      <w:proofErr w:type="spellEnd"/>
      <w:r>
        <w:t xml:space="preserve"> van </w:t>
      </w:r>
      <w:proofErr w:type="spellStart"/>
      <w:r>
        <w:t>meerderjarige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, </w:t>
      </w:r>
      <w:proofErr w:type="spellStart"/>
      <w:r>
        <w:t>namelijk</w:t>
      </w:r>
      <w:proofErr w:type="spellEnd"/>
      <w:r>
        <w:t xml:space="preserve"> het attest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(</w:t>
      </w:r>
      <w:proofErr w:type="spellStart"/>
      <w:r>
        <w:t>opleidingsvorm</w:t>
      </w:r>
      <w:proofErr w:type="spellEnd"/>
      <w:r>
        <w:t xml:space="preserve"> 1 </w:t>
      </w:r>
      <w:proofErr w:type="spellStart"/>
      <w:r>
        <w:t>en</w:t>
      </w:r>
      <w:proofErr w:type="spellEnd"/>
      <w:r>
        <w:t xml:space="preserve"> 2).</w:t>
      </w:r>
    </w:p>
    <w:p w14:paraId="320D8230" w14:textId="77777777" w:rsidR="00194149" w:rsidRDefault="00A63A78">
      <w:pPr>
        <w:numPr>
          <w:ilvl w:val="0"/>
          <w:numId w:val="3"/>
        </w:numPr>
      </w:pPr>
      <w:proofErr w:type="spellStart"/>
      <w:r>
        <w:t>Een</w:t>
      </w:r>
      <w:proofErr w:type="spellEnd"/>
      <w:r>
        <w:t xml:space="preserve"> attest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secundair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tot </w:t>
      </w:r>
      <w:proofErr w:type="spellStart"/>
      <w:r>
        <w:t>en</w:t>
      </w:r>
      <w:proofErr w:type="spellEnd"/>
      <w:r>
        <w:t xml:space="preserve"> met 25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</w:p>
    <w:p w14:paraId="4B4848A6" w14:textId="77777777" w:rsidR="00194149" w:rsidRDefault="00A63A78">
      <w:pPr>
        <w:numPr>
          <w:ilvl w:val="0"/>
          <w:numId w:val="3"/>
        </w:numPr>
        <w:spacing w:after="200"/>
      </w:pPr>
      <w:r>
        <w:t xml:space="preserve">Er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gesproken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inschrijvingsverslag</w:t>
      </w:r>
      <w:proofErr w:type="spellEnd"/>
      <w:r>
        <w:t xml:space="preserve">. De </w:t>
      </w:r>
      <w:proofErr w:type="spellStart"/>
      <w:r>
        <w:t>omschrijving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vereenvoudigd</w:t>
      </w:r>
      <w:proofErr w:type="spellEnd"/>
      <w:r>
        <w:t xml:space="preserve"> door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verwijzen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‘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bewijs</w:t>
      </w:r>
      <w:proofErr w:type="spellEnd"/>
      <w:r>
        <w:t>/</w:t>
      </w:r>
      <w:proofErr w:type="spellStart"/>
      <w:r>
        <w:t>verslag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tot het </w:t>
      </w:r>
      <w:proofErr w:type="spellStart"/>
      <w:r>
        <w:t>buitengewoon</w:t>
      </w:r>
      <w:proofErr w:type="spellEnd"/>
      <w:r>
        <w:t xml:space="preserve"> (</w:t>
      </w:r>
      <w:proofErr w:type="spellStart"/>
      <w:r>
        <w:t>secundair</w:t>
      </w:r>
      <w:proofErr w:type="spellEnd"/>
      <w:r>
        <w:t xml:space="preserve">) </w:t>
      </w:r>
      <w:proofErr w:type="spellStart"/>
      <w:r>
        <w:t>onder</w:t>
      </w:r>
      <w:r>
        <w:t>wijs</w:t>
      </w:r>
      <w:proofErr w:type="spellEnd"/>
      <w:r>
        <w:t xml:space="preserve">.’ </w:t>
      </w:r>
    </w:p>
    <w:p w14:paraId="2F17E0A6" w14:textId="77777777" w:rsidR="00194149" w:rsidRDefault="00A63A78">
      <w:pPr>
        <w:spacing w:after="200"/>
      </w:pPr>
      <w:proofErr w:type="spellStart"/>
      <w:r>
        <w:t>Personen</w:t>
      </w:r>
      <w:proofErr w:type="spellEnd"/>
      <w:r>
        <w:t xml:space="preserve"> die </w:t>
      </w:r>
      <w:proofErr w:type="spellStart"/>
      <w:r>
        <w:t>na</w:t>
      </w:r>
      <w:proofErr w:type="spellEnd"/>
      <w:r>
        <w:t xml:space="preserve"> de </w:t>
      </w:r>
      <w:proofErr w:type="spellStart"/>
      <w:r>
        <w:t>leeftijd</w:t>
      </w:r>
      <w:proofErr w:type="spellEnd"/>
      <w:r>
        <w:t xml:space="preserve"> van 25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aanvraag</w:t>
      </w:r>
      <w:proofErr w:type="spellEnd"/>
      <w:r>
        <w:t xml:space="preserve"> tot 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indienen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VAPH,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beroep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op het attest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. Op die </w:t>
      </w:r>
      <w:proofErr w:type="spellStart"/>
      <w:r>
        <w:t>leeftijd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eventueel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attest </w:t>
      </w:r>
      <w:proofErr w:type="spellStart"/>
      <w:r>
        <w:t>alsnog</w:t>
      </w:r>
      <w:proofErr w:type="spellEnd"/>
      <w:r>
        <w:t xml:space="preserve"> in </w:t>
      </w:r>
      <w:proofErr w:type="spellStart"/>
      <w:r>
        <w:t>aanmerking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versnelde</w:t>
      </w:r>
      <w:proofErr w:type="spellEnd"/>
      <w:r>
        <w:t xml:space="preserve"> procedure. Ook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attest is, </w:t>
      </w:r>
      <w:proofErr w:type="spellStart"/>
      <w:r>
        <w:t>kan</w:t>
      </w:r>
      <w:proofErr w:type="spellEnd"/>
      <w:r>
        <w:t xml:space="preserve"> er </w:t>
      </w:r>
      <w:proofErr w:type="spellStart"/>
      <w:r>
        <w:t>uiteraard</w:t>
      </w:r>
      <w:proofErr w:type="spellEnd"/>
      <w:r>
        <w:t xml:space="preserve"> steeds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aanvraag</w:t>
      </w:r>
      <w:proofErr w:type="spellEnd"/>
      <w:r>
        <w:t xml:space="preserve"> tot 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ingediend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De </w:t>
      </w:r>
      <w:proofErr w:type="spellStart"/>
      <w:r>
        <w:t>beoordeling</w:t>
      </w:r>
      <w:proofErr w:type="spellEnd"/>
      <w:r>
        <w:t xml:space="preserve"> van de handicap </w:t>
      </w:r>
      <w:proofErr w:type="spellStart"/>
      <w:r>
        <w:t>zal</w:t>
      </w:r>
      <w:proofErr w:type="spellEnd"/>
      <w:r>
        <w:t xml:space="preserve"> in die </w:t>
      </w:r>
      <w:proofErr w:type="spellStart"/>
      <w:r>
        <w:t>situaties</w:t>
      </w:r>
      <w:proofErr w:type="spellEnd"/>
      <w:r>
        <w:t xml:space="preserve"> door het VAPH </w:t>
      </w:r>
      <w:proofErr w:type="spellStart"/>
      <w:r>
        <w:t>en</w:t>
      </w:r>
      <w:proofErr w:type="spellEnd"/>
      <w:r>
        <w:t xml:space="preserve"> de VTC </w:t>
      </w:r>
      <w:proofErr w:type="spellStart"/>
      <w:r>
        <w:t>gebeuren</w:t>
      </w:r>
      <w:proofErr w:type="spellEnd"/>
      <w:r>
        <w:t>.</w:t>
      </w:r>
    </w:p>
    <w:p w14:paraId="4211F9B3" w14:textId="77777777" w:rsidR="00194149" w:rsidRDefault="00A63A78">
      <w:pPr>
        <w:spacing w:after="240"/>
        <w:rPr>
          <w:b/>
        </w:rPr>
      </w:pPr>
      <w:r>
        <w:rPr>
          <w:b/>
        </w:rPr>
        <w:t xml:space="preserve">4. Attest </w:t>
      </w:r>
      <w:proofErr w:type="spellStart"/>
      <w:r>
        <w:rPr>
          <w:b/>
        </w:rPr>
        <w:t>verlengde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minderjar</w:t>
      </w:r>
      <w:r>
        <w:rPr>
          <w:b/>
        </w:rPr>
        <w:t>igheid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afschaffing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vermelde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beschermingsmaatregelen</w:t>
      </w:r>
      <w:proofErr w:type="spellEnd"/>
    </w:p>
    <w:p w14:paraId="46A5271C" w14:textId="77777777" w:rsidR="00194149" w:rsidRDefault="00A63A78">
      <w:pPr>
        <w:spacing w:line="240" w:lineRule="auto"/>
        <w:rPr>
          <w:highlight w:val="white"/>
        </w:rPr>
      </w:pPr>
      <w:proofErr w:type="spellStart"/>
      <w:r>
        <w:t>Sinds</w:t>
      </w:r>
      <w:proofErr w:type="spellEnd"/>
      <w:r>
        <w:t xml:space="preserve"> het in </w:t>
      </w:r>
      <w:proofErr w:type="spellStart"/>
      <w:r>
        <w:t>voege</w:t>
      </w:r>
      <w:proofErr w:type="spellEnd"/>
      <w:r>
        <w:t xml:space="preserve"> </w:t>
      </w:r>
      <w:proofErr w:type="spellStart"/>
      <w:r>
        <w:t>treden</w:t>
      </w:r>
      <w:proofErr w:type="spellEnd"/>
      <w:r>
        <w:t xml:space="preserve"> van het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beschermingsstatuut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vonnis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bescherming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meerderjarigen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het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statuut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aanvaard</w:t>
      </w:r>
      <w:proofErr w:type="spellEnd"/>
      <w:r>
        <w:t xml:space="preserve"> </w:t>
      </w:r>
      <w:proofErr w:type="spellStart"/>
      <w:r>
        <w:t>i.h.k.v</w:t>
      </w:r>
      <w:proofErr w:type="spellEnd"/>
      <w:r>
        <w:t xml:space="preserve">.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6bis. </w:t>
      </w:r>
      <w:proofErr w:type="spellStart"/>
      <w:r>
        <w:t>Aangezien</w:t>
      </w:r>
      <w:proofErr w:type="spellEnd"/>
      <w:r>
        <w:t xml:space="preserve"> de </w:t>
      </w:r>
      <w:proofErr w:type="spellStart"/>
      <w:r>
        <w:t>overgangsperiode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omzetten</w:t>
      </w:r>
      <w:proofErr w:type="spellEnd"/>
      <w:r>
        <w:t xml:space="preserve"> van de </w:t>
      </w:r>
      <w:proofErr w:type="spellStart"/>
      <w:r>
        <w:t>oude</w:t>
      </w:r>
      <w:proofErr w:type="spellEnd"/>
      <w:r>
        <w:t xml:space="preserve"> </w:t>
      </w:r>
      <w:proofErr w:type="spellStart"/>
      <w:r>
        <w:t>sta</w:t>
      </w:r>
      <w:r>
        <w:t>tuten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reeds achter de rug is (</w:t>
      </w:r>
      <w:proofErr w:type="spellStart"/>
      <w:r>
        <w:t>einde</w:t>
      </w:r>
      <w:proofErr w:type="spellEnd"/>
      <w:r>
        <w:t xml:space="preserve"> 2019) </w:t>
      </w:r>
      <w:proofErr w:type="spellStart"/>
      <w:proofErr w:type="gramStart"/>
      <w:r>
        <w:t>zijn</w:t>
      </w:r>
      <w:proofErr w:type="spellEnd"/>
      <w:r>
        <w:t xml:space="preserve">  </w:t>
      </w:r>
      <w:proofErr w:type="spellStart"/>
      <w:r>
        <w:t>attesten</w:t>
      </w:r>
      <w:proofErr w:type="spellEnd"/>
      <w:proofErr w:type="gramEnd"/>
      <w:r>
        <w:t xml:space="preserve"> ‘</w:t>
      </w:r>
      <w:proofErr w:type="spellStart"/>
      <w:r>
        <w:t>verlengde</w:t>
      </w:r>
      <w:proofErr w:type="spellEnd"/>
      <w:r>
        <w:t xml:space="preserve"> </w:t>
      </w:r>
      <w:proofErr w:type="spellStart"/>
      <w:r>
        <w:t>minderjarigheid</w:t>
      </w:r>
      <w:proofErr w:type="spellEnd"/>
      <w:r>
        <w:t>’ of ‘</w:t>
      </w:r>
      <w:proofErr w:type="spellStart"/>
      <w:r>
        <w:t>onbekwaam</w:t>
      </w:r>
      <w:proofErr w:type="spellEnd"/>
      <w:r>
        <w:t xml:space="preserve"> </w:t>
      </w:r>
      <w:proofErr w:type="spellStart"/>
      <w:r>
        <w:t>verklaard</w:t>
      </w:r>
      <w:proofErr w:type="spellEnd"/>
      <w:r>
        <w:t xml:space="preserve">’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. Die </w:t>
      </w:r>
      <w:proofErr w:type="spellStart"/>
      <w:r>
        <w:rPr>
          <w:highlight w:val="white"/>
        </w:rPr>
        <w:t>beschermingsmaatregelen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zijn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immers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afgeschaft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Daarom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werd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bekeken</w:t>
      </w:r>
      <w:proofErr w:type="spellEnd"/>
      <w:r>
        <w:rPr>
          <w:highlight w:val="white"/>
        </w:rPr>
        <w:t xml:space="preserve"> of het </w:t>
      </w:r>
      <w:proofErr w:type="spellStart"/>
      <w:r>
        <w:rPr>
          <w:highlight w:val="white"/>
        </w:rPr>
        <w:t>nieuw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beschermingsstatuut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gebruikt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</w:t>
      </w:r>
      <w:r>
        <w:rPr>
          <w:highlight w:val="white"/>
        </w:rPr>
        <w:t>en</w:t>
      </w:r>
      <w:proofErr w:type="spellEnd"/>
      <w:r>
        <w:rPr>
          <w:highlight w:val="white"/>
        </w:rPr>
        <w:t xml:space="preserve"> om de </w:t>
      </w:r>
      <w:proofErr w:type="spellStart"/>
      <w:r>
        <w:rPr>
          <w:highlight w:val="white"/>
        </w:rPr>
        <w:t>geschrapte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attesten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vervangen</w:t>
      </w:r>
      <w:proofErr w:type="spellEnd"/>
      <w:r>
        <w:rPr>
          <w:highlight w:val="white"/>
        </w:rPr>
        <w:t>.</w:t>
      </w:r>
    </w:p>
    <w:p w14:paraId="48DA4A44" w14:textId="77777777" w:rsidR="00194149" w:rsidRDefault="00194149">
      <w:pPr>
        <w:spacing w:line="240" w:lineRule="auto"/>
        <w:rPr>
          <w:highlight w:val="white"/>
        </w:rPr>
      </w:pPr>
    </w:p>
    <w:p w14:paraId="795FFE86" w14:textId="1C113045" w:rsidR="00194149" w:rsidRDefault="00A63A78">
      <w:pPr>
        <w:spacing w:line="240" w:lineRule="auto"/>
      </w:pPr>
      <w:r>
        <w:rPr>
          <w:highlight w:val="white"/>
        </w:rPr>
        <w:t xml:space="preserve">De </w:t>
      </w:r>
      <w:proofErr w:type="spellStart"/>
      <w:r>
        <w:rPr>
          <w:highlight w:val="white"/>
        </w:rPr>
        <w:t>gerechtelijke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bescherming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meerderjarigen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werd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echter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ingevoerd</w:t>
      </w:r>
      <w:proofErr w:type="spellEnd"/>
      <w:r>
        <w:rPr>
          <w:highlight w:val="white"/>
        </w:rPr>
        <w:t xml:space="preserve"> om </w:t>
      </w:r>
      <w:proofErr w:type="spellStart"/>
      <w:r>
        <w:rPr>
          <w:highlight w:val="white"/>
        </w:rPr>
        <w:t>meer</w:t>
      </w:r>
      <w:proofErr w:type="spellEnd"/>
      <w:r>
        <w:rPr>
          <w:highlight w:val="white"/>
        </w:rPr>
        <w:t xml:space="preserve"> 'op </w:t>
      </w:r>
      <w:proofErr w:type="spellStart"/>
      <w:r>
        <w:rPr>
          <w:highlight w:val="white"/>
        </w:rPr>
        <w:t>maat</w:t>
      </w:r>
      <w:proofErr w:type="spellEnd"/>
      <w:r>
        <w:rPr>
          <w:highlight w:val="white"/>
        </w:rPr>
        <w:t xml:space="preserve">' van de </w:t>
      </w:r>
      <w:proofErr w:type="spellStart"/>
      <w:r>
        <w:rPr>
          <w:highlight w:val="white"/>
        </w:rPr>
        <w:t>persoon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werken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Dat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betekent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</w:t>
      </w:r>
      <w:proofErr w:type="spellEnd"/>
      <w:r>
        <w:rPr>
          <w:highlight w:val="white"/>
        </w:rPr>
        <w:t xml:space="preserve"> het </w:t>
      </w:r>
      <w:proofErr w:type="spellStart"/>
      <w:r>
        <w:rPr>
          <w:highlight w:val="white"/>
        </w:rPr>
        <w:t>zwart</w:t>
      </w:r>
      <w:proofErr w:type="spellEnd"/>
      <w:r>
        <w:rPr>
          <w:highlight w:val="white"/>
        </w:rPr>
        <w:t xml:space="preserve">-wit </w:t>
      </w:r>
      <w:proofErr w:type="spellStart"/>
      <w:r>
        <w:rPr>
          <w:highlight w:val="white"/>
        </w:rPr>
        <w:t>verhaal</w:t>
      </w:r>
      <w:proofErr w:type="spellEnd"/>
      <w:r>
        <w:rPr>
          <w:highlight w:val="white"/>
        </w:rPr>
        <w:t xml:space="preserve"> van de in het </w:t>
      </w:r>
      <w:proofErr w:type="spellStart"/>
      <w:r>
        <w:rPr>
          <w:highlight w:val="white"/>
        </w:rPr>
        <w:t>verleden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toegekende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beschermingsmaatregelen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t xml:space="preserve">is </w:t>
      </w:r>
      <w:proofErr w:type="spellStart"/>
      <w:r>
        <w:rPr>
          <w:highlight w:val="white"/>
        </w:rPr>
        <w:t>verdwenen</w:t>
      </w:r>
      <w:proofErr w:type="spellEnd"/>
      <w:r>
        <w:rPr>
          <w:highlight w:val="white"/>
        </w:rPr>
        <w:t xml:space="preserve">. In de </w:t>
      </w:r>
      <w:proofErr w:type="spellStart"/>
      <w:r>
        <w:rPr>
          <w:highlight w:val="white"/>
        </w:rPr>
        <w:t>praktijk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blijkt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groep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personen</w:t>
      </w:r>
      <w:proofErr w:type="spellEnd"/>
      <w:r>
        <w:rPr>
          <w:highlight w:val="white"/>
        </w:rPr>
        <w:t xml:space="preserve"> die </w:t>
      </w:r>
      <w:proofErr w:type="spellStart"/>
      <w:r>
        <w:rPr>
          <w:highlight w:val="white"/>
        </w:rPr>
        <w:t>onder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bewindvoering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staan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ingevolge</w:t>
      </w:r>
      <w:proofErr w:type="spellEnd"/>
      <w:r>
        <w:rPr>
          <w:highlight w:val="white"/>
        </w:rPr>
        <w:t xml:space="preserve"> de 'op </w:t>
      </w:r>
      <w:proofErr w:type="spellStart"/>
      <w:r>
        <w:rPr>
          <w:highlight w:val="white"/>
        </w:rPr>
        <w:t>maat</w:t>
      </w:r>
      <w:proofErr w:type="spellEnd"/>
      <w:r>
        <w:rPr>
          <w:highlight w:val="white"/>
        </w:rPr>
        <w:t xml:space="preserve">' </w:t>
      </w:r>
      <w:proofErr w:type="spellStart"/>
      <w:r>
        <w:rPr>
          <w:highlight w:val="white"/>
        </w:rPr>
        <w:t>voorziene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maatregelen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zeer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heterogeen</w:t>
      </w:r>
      <w:proofErr w:type="spellEnd"/>
      <w:r>
        <w:rPr>
          <w:highlight w:val="white"/>
        </w:rPr>
        <w:t xml:space="preserve"> is. </w:t>
      </w:r>
      <w:proofErr w:type="spellStart"/>
      <w:r>
        <w:rPr>
          <w:highlight w:val="white"/>
        </w:rPr>
        <w:t>Bij</w:t>
      </w:r>
      <w:proofErr w:type="spellEnd"/>
      <w:r>
        <w:rPr>
          <w:highlight w:val="white"/>
        </w:rPr>
        <w:t xml:space="preserve"> die </w:t>
      </w:r>
      <w:proofErr w:type="spellStart"/>
      <w:r>
        <w:rPr>
          <w:highlight w:val="white"/>
        </w:rPr>
        <w:t>heterogene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groep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algemeen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geconcludeerd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</w:t>
      </w:r>
      <w:proofErr w:type="spellEnd"/>
      <w:r>
        <w:rPr>
          <w:highlight w:val="white"/>
        </w:rPr>
        <w:t xml:space="preserve"> het </w:t>
      </w:r>
      <w:proofErr w:type="spellStart"/>
      <w:r>
        <w:rPr>
          <w:highlight w:val="white"/>
        </w:rPr>
        <w:t>loutere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feit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zij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t>'</w:t>
      </w:r>
      <w:proofErr w:type="spellStart"/>
      <w:r>
        <w:rPr>
          <w:highlight w:val="white"/>
        </w:rPr>
        <w:t>onder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bewindvoering</w:t>
      </w:r>
      <w:proofErr w:type="spellEnd"/>
      <w:r>
        <w:rPr>
          <w:highlight w:val="white"/>
        </w:rPr>
        <w:t xml:space="preserve">' </w:t>
      </w:r>
      <w:proofErr w:type="spellStart"/>
      <w:r>
        <w:rPr>
          <w:highlight w:val="white"/>
        </w:rPr>
        <w:t>werden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geplaatst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onbekwaam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voor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persoon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</w:t>
      </w:r>
      <w:proofErr w:type="spellEnd"/>
      <w:r>
        <w:rPr>
          <w:highlight w:val="white"/>
        </w:rPr>
        <w:t xml:space="preserve">/of </w:t>
      </w:r>
      <w:proofErr w:type="spellStart"/>
      <w:r>
        <w:rPr>
          <w:highlight w:val="white"/>
        </w:rPr>
        <w:t>goederen</w:t>
      </w:r>
      <w:proofErr w:type="spellEnd"/>
      <w:r>
        <w:rPr>
          <w:highlight w:val="white"/>
        </w:rPr>
        <w:t xml:space="preserve">) </w:t>
      </w:r>
      <w:proofErr w:type="spellStart"/>
      <w:r>
        <w:rPr>
          <w:highlight w:val="white"/>
        </w:rPr>
        <w:t>ook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bewijs</w:t>
      </w:r>
      <w:proofErr w:type="spellEnd"/>
      <w:r>
        <w:rPr>
          <w:highlight w:val="white"/>
        </w:rPr>
        <w:t xml:space="preserve"> is van de </w:t>
      </w:r>
      <w:proofErr w:type="spellStart"/>
      <w:r>
        <w:rPr>
          <w:highlight w:val="white"/>
        </w:rPr>
        <w:t>aanwezigheid</w:t>
      </w:r>
      <w:proofErr w:type="spellEnd"/>
      <w:r>
        <w:rPr>
          <w:highlight w:val="white"/>
        </w:rPr>
        <w:t xml:space="preserve"> van </w:t>
      </w:r>
      <w:proofErr w:type="spellStart"/>
      <w:r>
        <w:rPr>
          <w:highlight w:val="white"/>
        </w:rPr>
        <w:t>een</w:t>
      </w:r>
      <w:proofErr w:type="spellEnd"/>
      <w:r>
        <w:rPr>
          <w:highlight w:val="white"/>
        </w:rPr>
        <w:t xml:space="preserve"> handicap </w:t>
      </w:r>
      <w:proofErr w:type="spellStart"/>
      <w:r>
        <w:rPr>
          <w:highlight w:val="white"/>
        </w:rPr>
        <w:t>zoals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gedefinieerd</w:t>
      </w:r>
      <w:proofErr w:type="spellEnd"/>
      <w:r>
        <w:rPr>
          <w:highlight w:val="white"/>
        </w:rPr>
        <w:t xml:space="preserve"> door het VAPH. </w:t>
      </w:r>
      <w:proofErr w:type="spellStart"/>
      <w:r>
        <w:rPr>
          <w:highlight w:val="white"/>
        </w:rPr>
        <w:t>Daarom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worden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attesten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geschrapt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niet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vervangen</w:t>
      </w:r>
      <w:proofErr w:type="spellEnd"/>
      <w:r>
        <w:rPr>
          <w:highlight w:val="white"/>
        </w:rPr>
        <w:t>.</w:t>
      </w:r>
    </w:p>
    <w:p w14:paraId="72B44321" w14:textId="77777777" w:rsidR="00194149" w:rsidRDefault="00194149">
      <w:pPr>
        <w:widowControl w:val="0"/>
      </w:pPr>
    </w:p>
    <w:p w14:paraId="08802AEC" w14:textId="77777777" w:rsidR="00194149" w:rsidRDefault="00194149">
      <w:pPr>
        <w:widowControl w:val="0"/>
      </w:pPr>
    </w:p>
    <w:p w14:paraId="37FB62CC" w14:textId="77777777" w:rsidR="00194149" w:rsidRDefault="00194149">
      <w:pPr>
        <w:widowControl w:val="0"/>
      </w:pPr>
    </w:p>
    <w:p w14:paraId="4209F564" w14:textId="77777777" w:rsidR="00194149" w:rsidRDefault="00A63A78">
      <w:pPr>
        <w:widowControl w:val="0"/>
      </w:pPr>
      <w:r>
        <w:t xml:space="preserve">James Van </w:t>
      </w:r>
      <w:proofErr w:type="spellStart"/>
      <w:r>
        <w:t>Casteren</w:t>
      </w:r>
      <w:proofErr w:type="spellEnd"/>
    </w:p>
    <w:p w14:paraId="3DF82AD7" w14:textId="5A758854" w:rsidR="00194149" w:rsidRDefault="00A63A78" w:rsidP="00DC32E0">
      <w:pPr>
        <w:widowControl w:val="0"/>
        <w:spacing w:line="360" w:lineRule="auto"/>
      </w:pPr>
      <w:proofErr w:type="spellStart"/>
      <w:r>
        <w:t>Administr</w:t>
      </w:r>
      <w:r>
        <w:t>ateur-generaal</w:t>
      </w:r>
      <w:proofErr w:type="spellEnd"/>
    </w:p>
    <w:p w14:paraId="74905F55" w14:textId="77777777" w:rsidR="00194149" w:rsidRDefault="0019414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1A628ED" w14:textId="77777777" w:rsidR="00194149" w:rsidRDefault="0019414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E7CFF6A" w14:textId="77777777" w:rsidR="00194149" w:rsidRDefault="001941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sectPr w:rsidR="00194149">
      <w:footerReference w:type="default" r:id="rId9"/>
      <w:headerReference w:type="first" r:id="rId10"/>
      <w:footerReference w:type="first" r:id="rId11"/>
      <w:pgSz w:w="11906" w:h="16838"/>
      <w:pgMar w:top="1133" w:right="1133" w:bottom="1870" w:left="992" w:header="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C3F3" w14:textId="77777777" w:rsidR="00000000" w:rsidRDefault="00A63A78">
      <w:pPr>
        <w:spacing w:line="240" w:lineRule="auto"/>
      </w:pPr>
      <w:r>
        <w:separator/>
      </w:r>
    </w:p>
  </w:endnote>
  <w:endnote w:type="continuationSeparator" w:id="0">
    <w:p w14:paraId="3EDCAC81" w14:textId="77777777" w:rsidR="00000000" w:rsidRDefault="00A63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958A" w14:textId="16C01B8D" w:rsidR="00194149" w:rsidRPr="00DC32E0" w:rsidRDefault="00DC32E0">
    <w:pPr>
      <w:jc w:val="right"/>
      <w:rPr>
        <w:lang w:val="nl-NL"/>
      </w:rPr>
    </w:pPr>
    <w:r>
      <w:rPr>
        <w:lang w:val="nl-N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BEE8" w14:textId="77777777" w:rsidR="00194149" w:rsidRDefault="00194149">
    <w:pPr>
      <w:pBdr>
        <w:top w:val="nil"/>
        <w:left w:val="nil"/>
        <w:bottom w:val="nil"/>
        <w:right w:val="nil"/>
        <w:between w:val="nil"/>
      </w:pBdr>
    </w:pPr>
  </w:p>
  <w:p w14:paraId="7EE68E50" w14:textId="7ADDA5D7" w:rsidR="00194149" w:rsidRDefault="00A63A78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7AB75D25" wp14:editId="677D3E76">
          <wp:extent cx="1364840" cy="566738"/>
          <wp:effectExtent l="0" t="0" r="0" b="0"/>
          <wp:docPr id="2" name="image2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C32E0">
      <w:tab/>
    </w:r>
    <w:r w:rsidR="00DC32E0">
      <w:tab/>
    </w:r>
    <w:proofErr w:type="spellStart"/>
    <w:r>
      <w:t>Pagina</w:t>
    </w:r>
    <w:proofErr w:type="spellEnd"/>
    <w:r>
      <w:t xml:space="preserve"> </w:t>
    </w:r>
    <w:r w:rsidR="00DC32E0">
      <w:t>1</w:t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DC32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BE3A" w14:textId="77777777" w:rsidR="00000000" w:rsidRDefault="00A63A78">
      <w:pPr>
        <w:spacing w:line="240" w:lineRule="auto"/>
      </w:pPr>
      <w:r>
        <w:separator/>
      </w:r>
    </w:p>
  </w:footnote>
  <w:footnote w:type="continuationSeparator" w:id="0">
    <w:p w14:paraId="50C9F062" w14:textId="77777777" w:rsidR="00000000" w:rsidRDefault="00A63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A25E" w14:textId="77777777" w:rsidR="00194149" w:rsidRDefault="00194149">
    <w:pPr>
      <w:jc w:val="center"/>
    </w:pPr>
  </w:p>
  <w:p w14:paraId="0995DEF9" w14:textId="01B18AF7" w:rsidR="00194149" w:rsidRDefault="00194149">
    <w:pPr>
      <w:jc w:val="center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7E7F"/>
    <w:multiLevelType w:val="multilevel"/>
    <w:tmpl w:val="43EC1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B77CE4"/>
    <w:multiLevelType w:val="multilevel"/>
    <w:tmpl w:val="02F2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7E68B5"/>
    <w:multiLevelType w:val="multilevel"/>
    <w:tmpl w:val="8BF83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49"/>
    <w:rsid w:val="00194149"/>
    <w:rsid w:val="00A162E7"/>
    <w:rsid w:val="00A63A78"/>
    <w:rsid w:val="00AD6279"/>
    <w:rsid w:val="00D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43A8"/>
  <w15:docId w15:val="{7BA611B6-879C-45DC-BF31-643666F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C32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2E0"/>
  </w:style>
  <w:style w:type="paragraph" w:styleId="Voettekst">
    <w:name w:val="footer"/>
    <w:basedOn w:val="Standaard"/>
    <w:link w:val="VoettekstChar"/>
    <w:uiPriority w:val="99"/>
    <w:unhideWhenUsed/>
    <w:rsid w:val="00DC32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ph.be/voorwaarden/handicap/vaststelling-door-andere-instan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Vanhoomissen</dc:creator>
  <cp:lastModifiedBy>Evelien Vanhoomissen</cp:lastModifiedBy>
  <cp:revision>3</cp:revision>
  <cp:lastPrinted>2024-08-12T07:29:00Z</cp:lastPrinted>
  <dcterms:created xsi:type="dcterms:W3CDTF">2024-08-12T07:26:00Z</dcterms:created>
  <dcterms:modified xsi:type="dcterms:W3CDTF">2024-08-12T07:59:00Z</dcterms:modified>
</cp:coreProperties>
</file>