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DCCC" w14:textId="77777777" w:rsidR="00AB1F0E" w:rsidRDefault="00AB1F0E">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AB1F0E" w14:paraId="7CA57B8B" w14:textId="77777777">
        <w:tc>
          <w:tcPr>
            <w:tcW w:w="2490" w:type="dxa"/>
            <w:vMerge w:val="restart"/>
            <w:shd w:val="clear" w:color="auto" w:fill="auto"/>
            <w:tcMar>
              <w:top w:w="60" w:type="dxa"/>
              <w:left w:w="100" w:type="dxa"/>
              <w:bottom w:w="60" w:type="dxa"/>
              <w:right w:w="100" w:type="dxa"/>
            </w:tcMar>
          </w:tcPr>
          <w:p w14:paraId="30CE49CA" w14:textId="77777777" w:rsidR="00AB1F0E" w:rsidRDefault="00BC60AB">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6FF62F90" wp14:editId="528B97B4">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74F18F64" w14:textId="77777777" w:rsidR="00AB1F0E" w:rsidRDefault="00AB1F0E">
            <w:pPr>
              <w:widowControl w:val="0"/>
              <w:spacing w:line="240" w:lineRule="auto"/>
              <w:rPr>
                <w:rFonts w:ascii="Calibri" w:eastAsia="Calibri" w:hAnsi="Calibri" w:cs="Calibri"/>
              </w:rPr>
            </w:pPr>
          </w:p>
          <w:p w14:paraId="7216D454" w14:textId="77777777" w:rsidR="00AB1F0E" w:rsidRDefault="00BC60AB">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70DC9505" w14:textId="77777777" w:rsidR="00AB1F0E" w:rsidRDefault="00AB1F0E">
            <w:pPr>
              <w:widowControl w:val="0"/>
              <w:jc w:val="right"/>
              <w:rPr>
                <w:rFonts w:ascii="Calibri" w:eastAsia="Calibri" w:hAnsi="Calibri" w:cs="Calibri"/>
                <w:b/>
                <w:sz w:val="36"/>
                <w:szCs w:val="36"/>
              </w:rPr>
            </w:pPr>
          </w:p>
          <w:p w14:paraId="594DE06B" w14:textId="77777777" w:rsidR="00AB1F0E" w:rsidRDefault="00AB1F0E">
            <w:pPr>
              <w:widowControl w:val="0"/>
              <w:jc w:val="right"/>
              <w:rPr>
                <w:rFonts w:ascii="Calibri" w:eastAsia="Calibri" w:hAnsi="Calibri" w:cs="Calibri"/>
                <w:b/>
                <w:sz w:val="36"/>
                <w:szCs w:val="36"/>
              </w:rPr>
            </w:pPr>
          </w:p>
          <w:p w14:paraId="1BA74F9A" w14:textId="77777777" w:rsidR="00AB1F0E" w:rsidRDefault="00BC60AB">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AB1F0E" w14:paraId="6CE49D2A" w14:textId="77777777">
        <w:tc>
          <w:tcPr>
            <w:tcW w:w="2490" w:type="dxa"/>
            <w:vMerge/>
            <w:shd w:val="clear" w:color="auto" w:fill="auto"/>
            <w:tcMar>
              <w:top w:w="100" w:type="dxa"/>
              <w:left w:w="100" w:type="dxa"/>
              <w:bottom w:w="100" w:type="dxa"/>
              <w:right w:w="100" w:type="dxa"/>
            </w:tcMar>
          </w:tcPr>
          <w:p w14:paraId="738170F7" w14:textId="77777777" w:rsidR="00AB1F0E" w:rsidRDefault="00AB1F0E">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47D79C1B" w14:textId="77777777" w:rsidR="00AB1F0E" w:rsidRDefault="00BC60AB">
            <w:pPr>
              <w:widowControl w:val="0"/>
              <w:jc w:val="right"/>
              <w:rPr>
                <w:rFonts w:ascii="Calibri" w:eastAsia="Calibri" w:hAnsi="Calibri" w:cs="Calibri"/>
                <w:b/>
                <w:sz w:val="26"/>
                <w:szCs w:val="26"/>
              </w:rPr>
            </w:pPr>
            <w:r>
              <w:rPr>
                <w:rFonts w:ascii="Calibri" w:eastAsia="Calibri" w:hAnsi="Calibri" w:cs="Calibri"/>
                <w:b/>
                <w:sz w:val="26"/>
                <w:szCs w:val="26"/>
              </w:rPr>
              <w:t>Aan: multifunctionele centra (MFC)</w:t>
            </w:r>
          </w:p>
          <w:p w14:paraId="358C92B3" w14:textId="77777777" w:rsidR="00AB1F0E" w:rsidRDefault="00AB1F0E">
            <w:pPr>
              <w:widowControl w:val="0"/>
              <w:jc w:val="right"/>
              <w:rPr>
                <w:rFonts w:ascii="Calibri" w:eastAsia="Calibri" w:hAnsi="Calibri" w:cs="Calibri"/>
                <w:b/>
                <w:sz w:val="26"/>
                <w:szCs w:val="26"/>
              </w:rPr>
            </w:pPr>
          </w:p>
        </w:tc>
      </w:tr>
      <w:tr w:rsidR="00AB1F0E" w14:paraId="5B3FA842" w14:textId="77777777">
        <w:tc>
          <w:tcPr>
            <w:tcW w:w="2490" w:type="dxa"/>
            <w:vMerge/>
            <w:shd w:val="clear" w:color="auto" w:fill="auto"/>
            <w:tcMar>
              <w:top w:w="100" w:type="dxa"/>
              <w:left w:w="100" w:type="dxa"/>
              <w:bottom w:w="100" w:type="dxa"/>
              <w:right w:w="100" w:type="dxa"/>
            </w:tcMar>
          </w:tcPr>
          <w:p w14:paraId="196E40AF" w14:textId="77777777" w:rsidR="00AB1F0E" w:rsidRDefault="00AB1F0E">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35B426C2" w14:textId="77777777" w:rsidR="00AB1F0E" w:rsidRDefault="00BC60AB">
            <w:pPr>
              <w:widowControl w:val="0"/>
              <w:jc w:val="right"/>
              <w:rPr>
                <w:rFonts w:ascii="Calibri" w:eastAsia="Calibri" w:hAnsi="Calibri" w:cs="Calibri"/>
                <w:color w:val="666666"/>
              </w:rPr>
            </w:pPr>
            <w:r>
              <w:rPr>
                <w:rFonts w:ascii="Calibri" w:eastAsia="Calibri" w:hAnsi="Calibri" w:cs="Calibri"/>
                <w:color w:val="666666"/>
              </w:rPr>
              <w:t>2 juli 2024</w:t>
            </w:r>
          </w:p>
        </w:tc>
      </w:tr>
      <w:tr w:rsidR="00AB1F0E" w14:paraId="29E6A651" w14:textId="77777777">
        <w:tc>
          <w:tcPr>
            <w:tcW w:w="2490" w:type="dxa"/>
            <w:vMerge/>
            <w:shd w:val="clear" w:color="auto" w:fill="auto"/>
            <w:tcMar>
              <w:top w:w="100" w:type="dxa"/>
              <w:left w:w="100" w:type="dxa"/>
              <w:bottom w:w="100" w:type="dxa"/>
              <w:right w:w="100" w:type="dxa"/>
            </w:tcMar>
          </w:tcPr>
          <w:p w14:paraId="3426C644" w14:textId="77777777" w:rsidR="00AB1F0E" w:rsidRDefault="00AB1F0E">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4E90F3D2" w14:textId="77777777" w:rsidR="00AB1F0E" w:rsidRDefault="00BC60AB">
            <w:pPr>
              <w:widowControl w:val="0"/>
              <w:jc w:val="right"/>
              <w:rPr>
                <w:rFonts w:ascii="Calibri" w:eastAsia="Calibri" w:hAnsi="Calibri" w:cs="Calibri"/>
                <w:color w:val="666666"/>
              </w:rPr>
            </w:pPr>
            <w:r>
              <w:rPr>
                <w:rFonts w:ascii="Calibri" w:eastAsia="Calibri" w:hAnsi="Calibri" w:cs="Calibri"/>
                <w:color w:val="666666"/>
              </w:rPr>
              <w:t>INF/24/21</w:t>
            </w:r>
          </w:p>
        </w:tc>
      </w:tr>
      <w:tr w:rsidR="00AB1F0E" w14:paraId="55FA24EE" w14:textId="77777777">
        <w:tc>
          <w:tcPr>
            <w:tcW w:w="2490" w:type="dxa"/>
            <w:shd w:val="clear" w:color="auto" w:fill="auto"/>
            <w:tcMar>
              <w:top w:w="20" w:type="dxa"/>
              <w:left w:w="100" w:type="dxa"/>
              <w:bottom w:w="20" w:type="dxa"/>
              <w:right w:w="100" w:type="dxa"/>
            </w:tcMar>
          </w:tcPr>
          <w:p w14:paraId="108741E7" w14:textId="77777777" w:rsidR="00AB1F0E" w:rsidRDefault="00BC60AB">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2FF7F18B" w14:textId="77777777" w:rsidR="00AB1F0E" w:rsidRDefault="00BC60AB">
            <w:pPr>
              <w:widowControl w:val="0"/>
              <w:rPr>
                <w:rFonts w:ascii="Calibri" w:eastAsia="Calibri" w:hAnsi="Calibri" w:cs="Calibri"/>
              </w:rPr>
            </w:pPr>
            <w:r>
              <w:rPr>
                <w:rFonts w:ascii="Calibri" w:eastAsia="Calibri" w:hAnsi="Calibri" w:cs="Calibri"/>
              </w:rPr>
              <w:t>Lander Huygens</w:t>
            </w:r>
          </w:p>
        </w:tc>
      </w:tr>
      <w:tr w:rsidR="00AB1F0E" w14:paraId="182BE7CE" w14:textId="77777777">
        <w:tc>
          <w:tcPr>
            <w:tcW w:w="2490" w:type="dxa"/>
            <w:shd w:val="clear" w:color="auto" w:fill="auto"/>
            <w:tcMar>
              <w:top w:w="20" w:type="dxa"/>
              <w:left w:w="100" w:type="dxa"/>
              <w:bottom w:w="20" w:type="dxa"/>
              <w:right w:w="100" w:type="dxa"/>
            </w:tcMar>
          </w:tcPr>
          <w:p w14:paraId="7867AA94" w14:textId="77777777" w:rsidR="00AB1F0E" w:rsidRDefault="00BC60AB">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3C07F417" w14:textId="77777777" w:rsidR="00AB1F0E" w:rsidRDefault="00BC60AB">
            <w:pPr>
              <w:widowControl w:val="0"/>
              <w:rPr>
                <w:rFonts w:ascii="Calibri" w:eastAsia="Calibri" w:hAnsi="Calibri" w:cs="Calibri"/>
                <w:sz w:val="20"/>
                <w:szCs w:val="20"/>
              </w:rPr>
            </w:pPr>
            <w:r>
              <w:rPr>
                <w:rFonts w:ascii="Calibri" w:eastAsia="Calibri" w:hAnsi="Calibri" w:cs="Calibri"/>
                <w:sz w:val="20"/>
                <w:szCs w:val="20"/>
              </w:rPr>
              <w:t>avf@vaph.be</w:t>
            </w:r>
          </w:p>
        </w:tc>
      </w:tr>
      <w:tr w:rsidR="00AB1F0E" w14:paraId="0282E5DF" w14:textId="77777777">
        <w:tc>
          <w:tcPr>
            <w:tcW w:w="2490" w:type="dxa"/>
            <w:shd w:val="clear" w:color="auto" w:fill="auto"/>
            <w:tcMar>
              <w:top w:w="20" w:type="dxa"/>
              <w:left w:w="100" w:type="dxa"/>
              <w:bottom w:w="20" w:type="dxa"/>
              <w:right w:w="100" w:type="dxa"/>
            </w:tcMar>
          </w:tcPr>
          <w:p w14:paraId="67688E51" w14:textId="77777777" w:rsidR="00AB1F0E" w:rsidRDefault="00AB1F0E">
            <w:pPr>
              <w:widowControl w:val="0"/>
              <w:jc w:val="right"/>
              <w:rPr>
                <w:rFonts w:ascii="Calibri" w:eastAsia="Calibri" w:hAnsi="Calibri" w:cs="Calibri"/>
                <w:b/>
                <w:sz w:val="20"/>
                <w:szCs w:val="20"/>
              </w:rPr>
            </w:pPr>
          </w:p>
        </w:tc>
        <w:tc>
          <w:tcPr>
            <w:tcW w:w="6390" w:type="dxa"/>
            <w:shd w:val="clear" w:color="auto" w:fill="auto"/>
            <w:tcMar>
              <w:top w:w="20" w:type="dxa"/>
              <w:left w:w="100" w:type="dxa"/>
              <w:bottom w:w="20" w:type="dxa"/>
              <w:right w:w="100" w:type="dxa"/>
            </w:tcMar>
            <w:vAlign w:val="bottom"/>
          </w:tcPr>
          <w:p w14:paraId="3128BA61" w14:textId="77777777" w:rsidR="00AB1F0E" w:rsidRDefault="00AB1F0E">
            <w:pPr>
              <w:widowControl w:val="0"/>
              <w:rPr>
                <w:rFonts w:ascii="Calibri" w:eastAsia="Calibri" w:hAnsi="Calibri" w:cs="Calibri"/>
                <w:sz w:val="20"/>
                <w:szCs w:val="20"/>
              </w:rPr>
            </w:pPr>
          </w:p>
        </w:tc>
      </w:tr>
      <w:tr w:rsidR="00AB1F0E" w14:paraId="042C22E9" w14:textId="77777777">
        <w:tc>
          <w:tcPr>
            <w:tcW w:w="2490" w:type="dxa"/>
            <w:shd w:val="clear" w:color="auto" w:fill="auto"/>
            <w:tcMar>
              <w:top w:w="20" w:type="dxa"/>
              <w:left w:w="100" w:type="dxa"/>
              <w:bottom w:w="20" w:type="dxa"/>
              <w:right w:w="100" w:type="dxa"/>
            </w:tcMar>
          </w:tcPr>
          <w:p w14:paraId="72B94C30" w14:textId="77777777" w:rsidR="00AB1F0E" w:rsidRDefault="00AB1F0E">
            <w:pPr>
              <w:widowControl w:val="0"/>
              <w:jc w:val="right"/>
              <w:rPr>
                <w:rFonts w:ascii="Calibri" w:eastAsia="Calibri" w:hAnsi="Calibri" w:cs="Calibri"/>
                <w:b/>
                <w:sz w:val="20"/>
                <w:szCs w:val="20"/>
              </w:rPr>
            </w:pPr>
          </w:p>
        </w:tc>
        <w:tc>
          <w:tcPr>
            <w:tcW w:w="6390" w:type="dxa"/>
            <w:shd w:val="clear" w:color="auto" w:fill="auto"/>
            <w:tcMar>
              <w:top w:w="20" w:type="dxa"/>
              <w:left w:w="100" w:type="dxa"/>
              <w:bottom w:w="20" w:type="dxa"/>
              <w:right w:w="100" w:type="dxa"/>
            </w:tcMar>
            <w:vAlign w:val="bottom"/>
          </w:tcPr>
          <w:p w14:paraId="49ACC5C6" w14:textId="77777777" w:rsidR="00AB1F0E" w:rsidRDefault="00AB1F0E">
            <w:pPr>
              <w:widowControl w:val="0"/>
              <w:rPr>
                <w:rFonts w:ascii="Calibri" w:eastAsia="Calibri" w:hAnsi="Calibri" w:cs="Calibri"/>
                <w:sz w:val="20"/>
                <w:szCs w:val="20"/>
              </w:rPr>
            </w:pPr>
          </w:p>
        </w:tc>
      </w:tr>
      <w:tr w:rsidR="00AB1F0E" w14:paraId="47CBE0D6" w14:textId="77777777">
        <w:tc>
          <w:tcPr>
            <w:tcW w:w="8880" w:type="dxa"/>
            <w:gridSpan w:val="2"/>
            <w:shd w:val="clear" w:color="auto" w:fill="auto"/>
            <w:tcMar>
              <w:top w:w="60" w:type="dxa"/>
              <w:left w:w="100" w:type="dxa"/>
              <w:bottom w:w="60" w:type="dxa"/>
              <w:right w:w="100" w:type="dxa"/>
            </w:tcMar>
          </w:tcPr>
          <w:p w14:paraId="2C44004A" w14:textId="77777777" w:rsidR="00AB1F0E" w:rsidRDefault="00AB1F0E">
            <w:pPr>
              <w:widowControl w:val="0"/>
              <w:rPr>
                <w:rFonts w:ascii="Calibri" w:eastAsia="Calibri" w:hAnsi="Calibri" w:cs="Calibri"/>
                <w:sz w:val="34"/>
                <w:szCs w:val="34"/>
              </w:rPr>
            </w:pPr>
          </w:p>
        </w:tc>
      </w:tr>
      <w:tr w:rsidR="00AB1F0E" w14:paraId="2A64724F" w14:textId="77777777">
        <w:tc>
          <w:tcPr>
            <w:tcW w:w="8880" w:type="dxa"/>
            <w:gridSpan w:val="2"/>
            <w:shd w:val="clear" w:color="auto" w:fill="auto"/>
            <w:tcMar>
              <w:top w:w="60" w:type="dxa"/>
              <w:left w:w="100" w:type="dxa"/>
              <w:bottom w:w="60" w:type="dxa"/>
              <w:right w:w="100" w:type="dxa"/>
            </w:tcMar>
          </w:tcPr>
          <w:p w14:paraId="737D564B" w14:textId="77777777" w:rsidR="00AB1F0E" w:rsidRDefault="00BC60AB">
            <w:pPr>
              <w:widowControl w:val="0"/>
              <w:rPr>
                <w:rFonts w:ascii="Calibri" w:eastAsia="Calibri" w:hAnsi="Calibri" w:cs="Calibri"/>
                <w:sz w:val="34"/>
                <w:szCs w:val="34"/>
              </w:rPr>
            </w:pPr>
            <w:r>
              <w:rPr>
                <w:rFonts w:ascii="Calibri" w:eastAsia="Calibri" w:hAnsi="Calibri" w:cs="Calibri"/>
                <w:sz w:val="34"/>
                <w:szCs w:val="34"/>
              </w:rPr>
              <w:t>Gezinshuis: wijziging regelgeving multifunctionele centra</w:t>
            </w:r>
          </w:p>
        </w:tc>
      </w:tr>
      <w:tr w:rsidR="00AB1F0E" w14:paraId="1A1ECA61" w14:textId="77777777">
        <w:tc>
          <w:tcPr>
            <w:tcW w:w="8880" w:type="dxa"/>
            <w:gridSpan w:val="2"/>
            <w:shd w:val="clear" w:color="auto" w:fill="auto"/>
            <w:tcMar>
              <w:top w:w="60" w:type="dxa"/>
              <w:left w:w="100" w:type="dxa"/>
              <w:bottom w:w="60" w:type="dxa"/>
              <w:right w:w="100" w:type="dxa"/>
            </w:tcMar>
          </w:tcPr>
          <w:p w14:paraId="6A820C4D" w14:textId="77777777" w:rsidR="00AB1F0E" w:rsidRDefault="00BC60AB">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2A46AE00" w14:textId="77777777" w:rsidR="00AB1F0E" w:rsidRDefault="00BC60AB">
      <w:pPr>
        <w:widowControl w:val="0"/>
        <w:spacing w:line="360" w:lineRule="auto"/>
        <w:rPr>
          <w:rFonts w:ascii="Calibri" w:eastAsia="Calibri" w:hAnsi="Calibri" w:cs="Calibri"/>
        </w:rPr>
      </w:pPr>
      <w:r>
        <w:rPr>
          <w:rFonts w:ascii="Calibri" w:eastAsia="Calibri" w:hAnsi="Calibri" w:cs="Calibri"/>
        </w:rPr>
        <w:t>Een multifunctioneel centrum (MFC) richt zich tot personen met een handicap tot en met 21 jaar (uitzonderlijk verlengbaar tot en met 25 jaar) die nood hebben aan specifieke ondersteuning. Een MFC biedt begeleiding, dagopvang en/of verblijf binnen het kader</w:t>
      </w:r>
      <w:r>
        <w:rPr>
          <w:rFonts w:ascii="Calibri" w:eastAsia="Calibri" w:hAnsi="Calibri" w:cs="Calibri"/>
        </w:rPr>
        <w:t xml:space="preserve"> van niet-rechtstreeks toegankelijke hulpverlening. In mei 2024 keurde de Vlaamse Regering de wijzigingen aan de regelgeving van multifunctionele centra omtrent het organiseren van gezinshuizen definitief goed. De aanpassingen gaan op 1 juli 2024 in.</w:t>
      </w:r>
    </w:p>
    <w:p w14:paraId="748E09C4" w14:textId="77777777" w:rsidR="00AB1F0E" w:rsidRDefault="00AB1F0E">
      <w:pPr>
        <w:widowControl w:val="0"/>
        <w:spacing w:line="360" w:lineRule="auto"/>
        <w:rPr>
          <w:rFonts w:ascii="Calibri" w:eastAsia="Calibri" w:hAnsi="Calibri" w:cs="Calibri"/>
        </w:rPr>
      </w:pPr>
    </w:p>
    <w:p w14:paraId="0819A742" w14:textId="77777777" w:rsidR="00AB1F0E" w:rsidRDefault="00BC60AB">
      <w:pPr>
        <w:widowControl w:val="0"/>
        <w:spacing w:line="360" w:lineRule="auto"/>
        <w:rPr>
          <w:rFonts w:ascii="Calibri" w:eastAsia="Calibri" w:hAnsi="Calibri" w:cs="Calibri"/>
        </w:rPr>
      </w:pPr>
      <w:r>
        <w:rPr>
          <w:rFonts w:ascii="Calibri" w:eastAsia="Calibri" w:hAnsi="Calibri" w:cs="Calibri"/>
        </w:rPr>
        <w:t>Gezi</w:t>
      </w:r>
      <w:r>
        <w:rPr>
          <w:rFonts w:ascii="Calibri" w:eastAsia="Calibri" w:hAnsi="Calibri" w:cs="Calibri"/>
        </w:rPr>
        <w:t>nshuizen hebben als doel het (tijdelijk) opvangen van minderjarigen met een handicap in een familiaal, kleinschalig initiatief, met een focus op gehechtheid en ontwikkeling, mogelijk te maken. Inhoudelijk is dit gezinshuisconcept samen te vatten als een pr</w:t>
      </w:r>
      <w:r>
        <w:rPr>
          <w:rFonts w:ascii="Calibri" w:eastAsia="Calibri" w:hAnsi="Calibri" w:cs="Calibri"/>
        </w:rPr>
        <w:t>ofessionele - dus opgeleide en betaalde - zorgouder die in het eigen gezin drie tot maximaal zes kinderen 7 dagen per week en 24 uur per dag opvangt en ondersteunt. Deze gezinshuizen worden zowel voor de screening van zorgouders als voor toeleiding of matc</w:t>
      </w:r>
      <w:r>
        <w:rPr>
          <w:rFonts w:ascii="Calibri" w:eastAsia="Calibri" w:hAnsi="Calibri" w:cs="Calibri"/>
        </w:rPr>
        <w:t>hing van kinderen ondersteund door een professionele organisatie (pleegzorg) en krijgen daarnaast inhoudelijke begeleiding en omkadering vanuit een organisatie (het multifunctioneel centrum), waar het gezinshuis deel van uitmaakt. Bijkomend voorziet het MF</w:t>
      </w:r>
      <w:r>
        <w:rPr>
          <w:rFonts w:ascii="Calibri" w:eastAsia="Calibri" w:hAnsi="Calibri" w:cs="Calibri"/>
        </w:rPr>
        <w:t xml:space="preserve">C ook in de noodzakelijke kwaliteitsvolle ondersteuning van de minderjarige zelf. De gezinshuizen zijn een aanvulling op het bestaande ondersteuningsaanbod en vinden hun plek naast </w:t>
      </w:r>
      <w:r>
        <w:rPr>
          <w:rFonts w:ascii="Calibri" w:eastAsia="Calibri" w:hAnsi="Calibri" w:cs="Calibri"/>
        </w:rPr>
        <w:lastRenderedPageBreak/>
        <w:t>pleegzorg en residentiële voorzieningen.</w:t>
      </w:r>
    </w:p>
    <w:p w14:paraId="5B32369D" w14:textId="77777777" w:rsidR="00AB1F0E" w:rsidRDefault="00AB1F0E">
      <w:pPr>
        <w:widowControl w:val="0"/>
        <w:spacing w:line="360" w:lineRule="auto"/>
        <w:rPr>
          <w:rFonts w:ascii="Calibri" w:eastAsia="Calibri" w:hAnsi="Calibri" w:cs="Calibri"/>
        </w:rPr>
      </w:pPr>
    </w:p>
    <w:p w14:paraId="3066023F" w14:textId="77777777" w:rsidR="00AB1F0E" w:rsidRDefault="00BC60AB">
      <w:pPr>
        <w:widowControl w:val="0"/>
        <w:spacing w:line="360" w:lineRule="auto"/>
        <w:rPr>
          <w:rFonts w:ascii="Calibri" w:eastAsia="Calibri" w:hAnsi="Calibri" w:cs="Calibri"/>
        </w:rPr>
      </w:pPr>
      <w:r>
        <w:rPr>
          <w:rFonts w:ascii="Calibri" w:eastAsia="Calibri" w:hAnsi="Calibri" w:cs="Calibri"/>
        </w:rPr>
        <w:t>Agentschap Opgroeien bood organis</w:t>
      </w:r>
      <w:r>
        <w:rPr>
          <w:rFonts w:ascii="Calibri" w:eastAsia="Calibri" w:hAnsi="Calibri" w:cs="Calibri"/>
        </w:rPr>
        <w:t>aties, die door hen erkend en gesubsidieerd worden, de mogelijkheid een aanvraag in te dienen om capaciteit verblijf om te zetten naar gezinshuizen. Deze geïnteresseerde organisaties liepen een ondersteunings- en informatietraject. Enkele van deze organisa</w:t>
      </w:r>
      <w:r>
        <w:rPr>
          <w:rFonts w:ascii="Calibri" w:eastAsia="Calibri" w:hAnsi="Calibri" w:cs="Calibri"/>
        </w:rPr>
        <w:t>ties hebben ook een erkenning als multifunctioneel centrum, ook zij doorliepen dit ondersteuningstraject al en maakten hun interesse voor het organiseren van dergelijke werking binnen hun MFC-erkenning kenbaar.</w:t>
      </w:r>
    </w:p>
    <w:p w14:paraId="5471033A" w14:textId="77777777" w:rsidR="00AB1F0E" w:rsidRDefault="00AB1F0E">
      <w:pPr>
        <w:widowControl w:val="0"/>
        <w:spacing w:line="360" w:lineRule="auto"/>
        <w:rPr>
          <w:rFonts w:ascii="Calibri" w:eastAsia="Calibri" w:hAnsi="Calibri" w:cs="Calibri"/>
        </w:rPr>
      </w:pPr>
    </w:p>
    <w:p w14:paraId="0E95A7D5" w14:textId="77777777" w:rsidR="00AB1F0E" w:rsidRDefault="00BC60AB">
      <w:pPr>
        <w:widowControl w:val="0"/>
        <w:spacing w:line="360" w:lineRule="auto"/>
        <w:rPr>
          <w:rFonts w:ascii="Calibri" w:eastAsia="Calibri" w:hAnsi="Calibri" w:cs="Calibri"/>
        </w:rPr>
      </w:pPr>
      <w:r>
        <w:rPr>
          <w:rFonts w:ascii="Calibri" w:eastAsia="Calibri" w:hAnsi="Calibri" w:cs="Calibri"/>
        </w:rPr>
        <w:t>Het VAPH bekijkt hoe de andere multifunction</w:t>
      </w:r>
      <w:r>
        <w:rPr>
          <w:rFonts w:ascii="Calibri" w:eastAsia="Calibri" w:hAnsi="Calibri" w:cs="Calibri"/>
        </w:rPr>
        <w:t>ele centra dit najaar geïnformeerd kunnen worden zodat ze bij een aanvraag tot organiseren van een gezinshuis, dit weloverwogen en onderbouwd kunnen doen. Het betreft namelijk een nieuwe vorm van ondersteuning die toch de nodige voorbereiding en afstemming</w:t>
      </w:r>
      <w:r>
        <w:rPr>
          <w:rFonts w:ascii="Calibri" w:eastAsia="Calibri" w:hAnsi="Calibri" w:cs="Calibri"/>
        </w:rPr>
        <w:t xml:space="preserve"> van een multifunctioneel centrum vereist. Dit zal in het najaar verder gecommuniceerd worden via de nieuwsbrief aan professionelen.</w:t>
      </w:r>
    </w:p>
    <w:p w14:paraId="1E544F1A" w14:textId="77777777" w:rsidR="00AB1F0E" w:rsidRDefault="00AB1F0E">
      <w:pPr>
        <w:widowControl w:val="0"/>
        <w:spacing w:line="360" w:lineRule="auto"/>
        <w:rPr>
          <w:rFonts w:ascii="Calibri" w:eastAsia="Calibri" w:hAnsi="Calibri" w:cs="Calibri"/>
        </w:rPr>
      </w:pPr>
    </w:p>
    <w:p w14:paraId="236B5F2E" w14:textId="77777777" w:rsidR="00AB1F0E" w:rsidRDefault="00BC60AB">
      <w:pPr>
        <w:widowControl w:val="0"/>
        <w:spacing w:line="360" w:lineRule="auto"/>
        <w:rPr>
          <w:rFonts w:ascii="Calibri" w:eastAsia="Calibri" w:hAnsi="Calibri" w:cs="Calibri"/>
        </w:rPr>
      </w:pPr>
      <w:r>
        <w:rPr>
          <w:rFonts w:ascii="Calibri" w:eastAsia="Calibri" w:hAnsi="Calibri" w:cs="Calibri"/>
        </w:rPr>
        <w:t>Gedetailleerde en uitgebreide informatie over de aanpassingen aan de regelgeving kunnen geïnteresseerde multifunctionele c</w:t>
      </w:r>
      <w:r>
        <w:rPr>
          <w:rFonts w:ascii="Calibri" w:eastAsia="Calibri" w:hAnsi="Calibri" w:cs="Calibri"/>
        </w:rPr>
        <w:t>entra reeds vinden in volgende documenten:</w:t>
      </w:r>
    </w:p>
    <w:p w14:paraId="692F2D2B" w14:textId="77777777" w:rsidR="00AB1F0E" w:rsidRDefault="00BC60AB">
      <w:pPr>
        <w:widowControl w:val="0"/>
        <w:numPr>
          <w:ilvl w:val="0"/>
          <w:numId w:val="1"/>
        </w:numPr>
        <w:spacing w:line="360" w:lineRule="auto"/>
        <w:rPr>
          <w:rFonts w:ascii="Calibri" w:eastAsia="Calibri" w:hAnsi="Calibri" w:cs="Calibri"/>
        </w:rPr>
      </w:pPr>
      <w:hyperlink r:id="rId8">
        <w:r>
          <w:rPr>
            <w:rFonts w:ascii="Calibri" w:eastAsia="Calibri" w:hAnsi="Calibri" w:cs="Calibri"/>
            <w:color w:val="1155CC"/>
            <w:u w:val="single"/>
          </w:rPr>
          <w:t>Besluit van de Vlaamse Regering tot wijziging van het besluit van de Vlaamse Regering van 26 februari 201</w:t>
        </w:r>
        <w:r>
          <w:rPr>
            <w:rFonts w:ascii="Calibri" w:eastAsia="Calibri" w:hAnsi="Calibri" w:cs="Calibri"/>
            <w:color w:val="1155CC"/>
            <w:u w:val="single"/>
          </w:rPr>
          <w:t>6 houdende erkenning en subsidiëring van multifunctionele centra voor minderjarige personen met een handicap, wat betreft de gezinshuizen</w:t>
        </w:r>
      </w:hyperlink>
    </w:p>
    <w:p w14:paraId="51E4B312" w14:textId="77777777" w:rsidR="00AB1F0E" w:rsidRDefault="00BC60AB">
      <w:pPr>
        <w:widowControl w:val="0"/>
        <w:numPr>
          <w:ilvl w:val="0"/>
          <w:numId w:val="1"/>
        </w:numPr>
        <w:spacing w:line="360" w:lineRule="auto"/>
        <w:rPr>
          <w:rFonts w:ascii="Calibri" w:eastAsia="Calibri" w:hAnsi="Calibri" w:cs="Calibri"/>
        </w:rPr>
      </w:pPr>
      <w:hyperlink r:id="rId9">
        <w:r>
          <w:rPr>
            <w:rFonts w:ascii="Calibri" w:eastAsia="Calibri" w:hAnsi="Calibri" w:cs="Calibri"/>
            <w:color w:val="1155CC"/>
            <w:u w:val="single"/>
          </w:rPr>
          <w:t>Bijhorende</w:t>
        </w:r>
        <w:r>
          <w:rPr>
            <w:rFonts w:ascii="Calibri" w:eastAsia="Calibri" w:hAnsi="Calibri" w:cs="Calibri"/>
            <w:color w:val="1155CC"/>
            <w:u w:val="single"/>
          </w:rPr>
          <w:t xml:space="preserve"> Nota aan de Vlaamse Regering</w:t>
        </w:r>
      </w:hyperlink>
    </w:p>
    <w:p w14:paraId="4DB69B52" w14:textId="77777777" w:rsidR="00AB1F0E" w:rsidRDefault="00AB1F0E">
      <w:pPr>
        <w:widowControl w:val="0"/>
        <w:spacing w:line="360" w:lineRule="auto"/>
        <w:rPr>
          <w:rFonts w:ascii="Calibri" w:eastAsia="Calibri" w:hAnsi="Calibri" w:cs="Calibri"/>
        </w:rPr>
      </w:pPr>
    </w:p>
    <w:p w14:paraId="71717433" w14:textId="77777777" w:rsidR="00AB1F0E" w:rsidRDefault="00AB1F0E">
      <w:pPr>
        <w:rPr>
          <w:rFonts w:ascii="Calibri" w:eastAsia="Calibri" w:hAnsi="Calibri" w:cs="Calibri"/>
        </w:rPr>
      </w:pPr>
    </w:p>
    <w:p w14:paraId="2883B972" w14:textId="77777777" w:rsidR="00AB1F0E" w:rsidRDefault="00AB1F0E">
      <w:pPr>
        <w:widowControl w:val="0"/>
        <w:rPr>
          <w:rFonts w:ascii="Calibri" w:eastAsia="Calibri" w:hAnsi="Calibri" w:cs="Calibri"/>
        </w:rPr>
      </w:pPr>
    </w:p>
    <w:p w14:paraId="606E1A10" w14:textId="77777777" w:rsidR="00AB1F0E" w:rsidRDefault="00AB1F0E">
      <w:pPr>
        <w:widowControl w:val="0"/>
        <w:rPr>
          <w:rFonts w:ascii="Calibri" w:eastAsia="Calibri" w:hAnsi="Calibri" w:cs="Calibri"/>
        </w:rPr>
      </w:pPr>
    </w:p>
    <w:p w14:paraId="7AEAB4DF" w14:textId="77777777" w:rsidR="00AB1F0E" w:rsidRDefault="00AB1F0E">
      <w:pPr>
        <w:widowControl w:val="0"/>
        <w:rPr>
          <w:rFonts w:ascii="Calibri" w:eastAsia="Calibri" w:hAnsi="Calibri" w:cs="Calibri"/>
        </w:rPr>
      </w:pPr>
    </w:p>
    <w:p w14:paraId="1929BFC8" w14:textId="77777777" w:rsidR="00AB1F0E" w:rsidRDefault="00AB1F0E">
      <w:pPr>
        <w:widowControl w:val="0"/>
        <w:rPr>
          <w:rFonts w:ascii="Calibri" w:eastAsia="Calibri" w:hAnsi="Calibri" w:cs="Calibri"/>
        </w:rPr>
      </w:pPr>
    </w:p>
    <w:p w14:paraId="71AF1D5E" w14:textId="77777777" w:rsidR="00AB1F0E" w:rsidRDefault="00BC60AB">
      <w:pPr>
        <w:widowControl w:val="0"/>
        <w:rPr>
          <w:rFonts w:ascii="Calibri" w:eastAsia="Calibri" w:hAnsi="Calibri" w:cs="Calibri"/>
        </w:rPr>
      </w:pPr>
      <w:r>
        <w:rPr>
          <w:rFonts w:ascii="Calibri" w:eastAsia="Calibri" w:hAnsi="Calibri" w:cs="Calibri"/>
        </w:rPr>
        <w:t>James Van Casteren</w:t>
      </w:r>
    </w:p>
    <w:p w14:paraId="66068473" w14:textId="77777777" w:rsidR="00AB1F0E" w:rsidRDefault="00BC60AB">
      <w:pPr>
        <w:widowControl w:val="0"/>
        <w:rPr>
          <w:rFonts w:ascii="Calibri" w:eastAsia="Calibri" w:hAnsi="Calibri" w:cs="Calibri"/>
        </w:rPr>
      </w:pPr>
      <w:r>
        <w:rPr>
          <w:rFonts w:ascii="Calibri" w:eastAsia="Calibri" w:hAnsi="Calibri" w:cs="Calibri"/>
        </w:rPr>
        <w:t>Administrateur-generaal</w:t>
      </w:r>
    </w:p>
    <w:p w14:paraId="23141FCC" w14:textId="77777777" w:rsidR="00AB1F0E" w:rsidRDefault="00AB1F0E">
      <w:pPr>
        <w:rPr>
          <w:rFonts w:ascii="Calibri" w:eastAsia="Calibri" w:hAnsi="Calibri" w:cs="Calibri"/>
        </w:rPr>
      </w:pPr>
    </w:p>
    <w:p w14:paraId="56149DCA" w14:textId="77777777" w:rsidR="00AB1F0E" w:rsidRDefault="00AB1F0E"/>
    <w:sectPr w:rsidR="00AB1F0E">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B4D3" w14:textId="77777777" w:rsidR="00000000" w:rsidRDefault="00BC60AB">
      <w:pPr>
        <w:spacing w:line="240" w:lineRule="auto"/>
      </w:pPr>
      <w:r>
        <w:separator/>
      </w:r>
    </w:p>
  </w:endnote>
  <w:endnote w:type="continuationSeparator" w:id="0">
    <w:p w14:paraId="437770A9" w14:textId="77777777" w:rsidR="00000000" w:rsidRDefault="00BC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3AB9" w14:textId="77777777" w:rsidR="00AB1F0E" w:rsidRDefault="00BC60AB">
    <w:r>
      <w:rPr>
        <w:rFonts w:ascii="Calibri" w:eastAsia="Calibri" w:hAnsi="Calibri" w:cs="Calibri"/>
        <w:noProof/>
      </w:rPr>
      <w:drawing>
        <wp:inline distT="114300" distB="114300" distL="114300" distR="114300" wp14:anchorId="4C868F8D" wp14:editId="613DF208">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BFE9" w14:textId="77777777" w:rsidR="00000000" w:rsidRDefault="00BC60AB">
      <w:pPr>
        <w:spacing w:line="240" w:lineRule="auto"/>
      </w:pPr>
      <w:r>
        <w:separator/>
      </w:r>
    </w:p>
  </w:footnote>
  <w:footnote w:type="continuationSeparator" w:id="0">
    <w:p w14:paraId="17AC8666" w14:textId="77777777" w:rsidR="00000000" w:rsidRDefault="00BC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07507"/>
    <w:multiLevelType w:val="multilevel"/>
    <w:tmpl w:val="CB5E7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0E"/>
    <w:rsid w:val="008B5FC1"/>
    <w:rsid w:val="00AB1F0E"/>
    <w:rsid w:val="00BC6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33A5"/>
  <w15:docId w15:val="{595EA5C1-58BB-48FD-89AC-70E79C5A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slissingenvlaamseregering.vlaanderen.be/document-view/66300A19079ED782020884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slissingenvlaamseregering.vlaanderen.be/document-view/66300A19079ED782020884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2849</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2024-07-02T06:45:00Z</dcterms:created>
  <dcterms:modified xsi:type="dcterms:W3CDTF">2024-07-02T06:45:00Z</dcterms:modified>
</cp:coreProperties>
</file>